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000" w:firstRow="0" w:lastRow="0" w:firstColumn="0" w:lastColumn="0" w:noHBand="0" w:noVBand="0"/>
      </w:tblPr>
      <w:tblGrid>
        <w:gridCol w:w="2254"/>
        <w:gridCol w:w="6746"/>
      </w:tblGrid>
      <w:tr w:rsidR="00C54D29" w14:paraId="562A69F8" w14:textId="77777777">
        <w:tblPrEx>
          <w:tblCellMar>
            <w:top w:w="0" w:type="dxa"/>
            <w:bottom w:w="0" w:type="dxa"/>
          </w:tblCellMar>
        </w:tblPrEx>
        <w:trPr>
          <w:tblCellSpacing w:w="60" w:type="dxa"/>
        </w:trPr>
        <w:tc>
          <w:tcPr>
            <w:tcW w:w="1200" w:type="pct"/>
            <w:shd w:val="clear" w:color="auto" w:fill="E7F0F9"/>
          </w:tcPr>
          <w:p w14:paraId="36D74E3A" w14:textId="77777777" w:rsidR="00C54D29" w:rsidRDefault="005C3788">
            <w:pPr>
              <w:spacing w:after="0" w:line="240" w:lineRule="auto"/>
            </w:pPr>
            <w:r>
              <w:rPr>
                <w:b/>
              </w:rPr>
              <w:t>RKP broj</w:t>
            </w:r>
          </w:p>
        </w:tc>
        <w:tc>
          <w:tcPr>
            <w:tcW w:w="0" w:type="auto"/>
            <w:shd w:val="clear" w:color="auto" w:fill="E7F0F9"/>
          </w:tcPr>
          <w:p w14:paraId="7CE0C675" w14:textId="77777777" w:rsidR="00C54D29" w:rsidRDefault="005C3788">
            <w:pPr>
              <w:spacing w:after="0" w:line="240" w:lineRule="auto"/>
            </w:pPr>
            <w:r>
              <w:t>48865</w:t>
            </w:r>
          </w:p>
        </w:tc>
      </w:tr>
      <w:tr w:rsidR="00C54D29" w14:paraId="42871C8E" w14:textId="77777777">
        <w:tblPrEx>
          <w:tblCellMar>
            <w:top w:w="0" w:type="dxa"/>
            <w:bottom w:w="0" w:type="dxa"/>
          </w:tblCellMar>
        </w:tblPrEx>
        <w:trPr>
          <w:tblCellSpacing w:w="60" w:type="dxa"/>
        </w:trPr>
        <w:tc>
          <w:tcPr>
            <w:tcW w:w="1200" w:type="pct"/>
            <w:shd w:val="clear" w:color="auto" w:fill="E7F0F9"/>
          </w:tcPr>
          <w:p w14:paraId="3430257D" w14:textId="77777777" w:rsidR="00C54D29" w:rsidRDefault="005C3788">
            <w:pPr>
              <w:spacing w:after="0" w:line="240" w:lineRule="auto"/>
            </w:pPr>
            <w:r>
              <w:rPr>
                <w:b/>
              </w:rPr>
              <w:t>Naziv obveznika</w:t>
            </w:r>
          </w:p>
        </w:tc>
        <w:tc>
          <w:tcPr>
            <w:tcW w:w="0" w:type="auto"/>
            <w:shd w:val="clear" w:color="auto" w:fill="E7F0F9"/>
          </w:tcPr>
          <w:p w14:paraId="361AF072" w14:textId="77777777" w:rsidR="00C54D29" w:rsidRDefault="005C3788">
            <w:pPr>
              <w:spacing w:after="0" w:line="240" w:lineRule="auto"/>
            </w:pPr>
            <w:r>
              <w:t>CENTAR ZA PROFESIONALNU REHABILITACIJU ZAGREB</w:t>
            </w:r>
          </w:p>
        </w:tc>
      </w:tr>
      <w:tr w:rsidR="00C54D29" w14:paraId="0B135893" w14:textId="77777777">
        <w:tblPrEx>
          <w:tblCellMar>
            <w:top w:w="0" w:type="dxa"/>
            <w:bottom w:w="0" w:type="dxa"/>
          </w:tblCellMar>
        </w:tblPrEx>
        <w:trPr>
          <w:tblCellSpacing w:w="60" w:type="dxa"/>
        </w:trPr>
        <w:tc>
          <w:tcPr>
            <w:tcW w:w="1200" w:type="pct"/>
            <w:shd w:val="clear" w:color="auto" w:fill="E7F0F9"/>
          </w:tcPr>
          <w:p w14:paraId="545F56F1" w14:textId="77777777" w:rsidR="00C54D29" w:rsidRDefault="005C3788">
            <w:pPr>
              <w:spacing w:after="0" w:line="240" w:lineRule="auto"/>
            </w:pPr>
            <w:r>
              <w:rPr>
                <w:b/>
              </w:rPr>
              <w:t>Razina</w:t>
            </w:r>
          </w:p>
        </w:tc>
        <w:tc>
          <w:tcPr>
            <w:tcW w:w="0" w:type="auto"/>
            <w:shd w:val="clear" w:color="auto" w:fill="E7F0F9"/>
          </w:tcPr>
          <w:p w14:paraId="68972FD8" w14:textId="77777777" w:rsidR="00C54D29" w:rsidRDefault="005C3788">
            <w:pPr>
              <w:spacing w:after="0" w:line="240" w:lineRule="auto"/>
            </w:pPr>
            <w:r>
              <w:t>11</w:t>
            </w:r>
          </w:p>
        </w:tc>
      </w:tr>
    </w:tbl>
    <w:p w14:paraId="0039B07C" w14:textId="77777777" w:rsidR="00C54D29" w:rsidRDefault="005C3788">
      <w:r>
        <w:br/>
      </w:r>
    </w:p>
    <w:p w14:paraId="4034378D" w14:textId="77777777" w:rsidR="00C54D29" w:rsidRDefault="005C3788">
      <w:pPr>
        <w:spacing w:line="240" w:lineRule="auto"/>
        <w:jc w:val="center"/>
      </w:pPr>
      <w:r>
        <w:rPr>
          <w:b/>
          <w:sz w:val="28"/>
        </w:rPr>
        <w:t>BILJEŠKE UZ FINANCIJSKE IZVJEŠTAJE</w:t>
      </w:r>
    </w:p>
    <w:p w14:paraId="2E43E009" w14:textId="77777777" w:rsidR="00C54D29" w:rsidRDefault="005C3788">
      <w:pPr>
        <w:spacing w:line="240" w:lineRule="auto"/>
        <w:jc w:val="center"/>
      </w:pPr>
      <w:r>
        <w:rPr>
          <w:b/>
          <w:sz w:val="28"/>
        </w:rPr>
        <w:t>ZA RAZDOBLJE</w:t>
      </w:r>
    </w:p>
    <w:p w14:paraId="7CF689E4" w14:textId="77777777" w:rsidR="00C54D29" w:rsidRDefault="005C3788">
      <w:pPr>
        <w:spacing w:line="240" w:lineRule="auto"/>
        <w:jc w:val="center"/>
      </w:pPr>
      <w:r>
        <w:rPr>
          <w:b/>
          <w:sz w:val="28"/>
        </w:rPr>
        <w:t>I - VI 2025.</w:t>
      </w:r>
    </w:p>
    <w:p w14:paraId="1914DAC1" w14:textId="77777777" w:rsidR="00C54D29" w:rsidRDefault="00C54D29"/>
    <w:p w14:paraId="5018D962" w14:textId="77777777" w:rsidR="00C54D29" w:rsidRDefault="005C3788">
      <w:pPr>
        <w:keepNext/>
        <w:spacing w:line="240" w:lineRule="auto"/>
        <w:jc w:val="center"/>
      </w:pPr>
      <w:r>
        <w:rPr>
          <w:b/>
          <w:sz w:val="28"/>
        </w:rPr>
        <w:t>Izvještaj o prihodima i rashodima, primicima i izdacima</w:t>
      </w:r>
    </w:p>
    <w:p w14:paraId="64585213" w14:textId="77777777" w:rsidR="00C54D29" w:rsidRDefault="005C3788">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C54D29" w14:paraId="4E0C674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B519C10" w14:textId="77777777" w:rsidR="00C54D29" w:rsidRDefault="005C378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4DCE0A2" w14:textId="77777777" w:rsidR="00C54D29" w:rsidRDefault="005C378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8A2AA59" w14:textId="77777777" w:rsidR="00C54D29" w:rsidRDefault="005C378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36E1024" w14:textId="77777777" w:rsidR="00C54D29" w:rsidRDefault="005C378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06E1FED" w14:textId="77777777" w:rsidR="00C54D29" w:rsidRDefault="005C378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BCBA1D5" w14:textId="77777777" w:rsidR="00C54D29" w:rsidRDefault="005C3788">
            <w:pPr>
              <w:keepNext/>
              <w:keepLines/>
              <w:spacing w:after="0" w:line="240" w:lineRule="auto"/>
              <w:jc w:val="center"/>
            </w:pPr>
            <w:r>
              <w:rPr>
                <w:b/>
                <w:sz w:val="18"/>
              </w:rPr>
              <w:t>Indeks (%)</w:t>
            </w:r>
          </w:p>
        </w:tc>
      </w:tr>
      <w:tr w:rsidR="00C54D29" w14:paraId="36D9C13F" w14:textId="77777777">
        <w:tblPrEx>
          <w:tblCellMar>
            <w:top w:w="0" w:type="dxa"/>
            <w:bottom w:w="0" w:type="dxa"/>
          </w:tblCellMar>
        </w:tblPrEx>
        <w:trPr>
          <w:cantSplit/>
          <w:trHeight w:val="560"/>
        </w:trPr>
        <w:tc>
          <w:tcPr>
            <w:tcW w:w="700" w:type="dxa"/>
            <w:tcMar>
              <w:top w:w="0" w:type="dxa"/>
              <w:bottom w:w="0" w:type="dxa"/>
            </w:tcMar>
            <w:vAlign w:val="center"/>
          </w:tcPr>
          <w:p w14:paraId="4CE41026" w14:textId="77777777" w:rsidR="00C54D29" w:rsidRDefault="005C3788">
            <w:pPr>
              <w:keepNext/>
              <w:keepLines/>
              <w:spacing w:after="0" w:line="240" w:lineRule="auto"/>
            </w:pPr>
            <w:r>
              <w:rPr>
                <w:sz w:val="18"/>
              </w:rPr>
              <w:t>6</w:t>
            </w:r>
          </w:p>
        </w:tc>
        <w:tc>
          <w:tcPr>
            <w:tcW w:w="3180" w:type="dxa"/>
            <w:tcMar>
              <w:top w:w="0" w:type="dxa"/>
              <w:bottom w:w="0" w:type="dxa"/>
            </w:tcMar>
            <w:vAlign w:val="center"/>
          </w:tcPr>
          <w:p w14:paraId="644C6276" w14:textId="77777777" w:rsidR="00C54D29" w:rsidRDefault="005C3788">
            <w:pPr>
              <w:keepNext/>
              <w:keepLines/>
              <w:spacing w:after="0" w:line="240" w:lineRule="auto"/>
            </w:pPr>
            <w:r>
              <w:rPr>
                <w:sz w:val="18"/>
              </w:rPr>
              <w:t>PRIHODI POSLOVANJA (šifre 61+62+63+64+65+66+67+68)</w:t>
            </w:r>
          </w:p>
        </w:tc>
        <w:tc>
          <w:tcPr>
            <w:tcW w:w="700" w:type="dxa"/>
            <w:tcMar>
              <w:top w:w="0" w:type="dxa"/>
              <w:bottom w:w="0" w:type="dxa"/>
            </w:tcMar>
            <w:vAlign w:val="center"/>
          </w:tcPr>
          <w:p w14:paraId="616A2ED8" w14:textId="77777777" w:rsidR="00C54D29" w:rsidRDefault="005C3788">
            <w:pPr>
              <w:keepNext/>
              <w:keepLines/>
              <w:spacing w:after="0" w:line="240" w:lineRule="auto"/>
            </w:pPr>
            <w:r>
              <w:rPr>
                <w:sz w:val="18"/>
              </w:rPr>
              <w:t>6</w:t>
            </w:r>
          </w:p>
        </w:tc>
        <w:tc>
          <w:tcPr>
            <w:tcW w:w="1860" w:type="dxa"/>
            <w:tcMar>
              <w:top w:w="0" w:type="dxa"/>
              <w:bottom w:w="0" w:type="dxa"/>
            </w:tcMar>
            <w:vAlign w:val="center"/>
          </w:tcPr>
          <w:p w14:paraId="4193F67A" w14:textId="77777777" w:rsidR="00C54D29" w:rsidRDefault="005C3788">
            <w:pPr>
              <w:keepNext/>
              <w:keepLines/>
              <w:spacing w:after="0" w:line="240" w:lineRule="auto"/>
              <w:jc w:val="right"/>
            </w:pPr>
            <w:r>
              <w:rPr>
                <w:sz w:val="18"/>
              </w:rPr>
              <w:t>1.114.798,36</w:t>
            </w:r>
          </w:p>
        </w:tc>
        <w:tc>
          <w:tcPr>
            <w:tcW w:w="1860" w:type="dxa"/>
            <w:tcMar>
              <w:top w:w="0" w:type="dxa"/>
              <w:bottom w:w="0" w:type="dxa"/>
            </w:tcMar>
            <w:vAlign w:val="center"/>
          </w:tcPr>
          <w:p w14:paraId="64637046" w14:textId="77777777" w:rsidR="00C54D29" w:rsidRDefault="005C3788">
            <w:pPr>
              <w:keepNext/>
              <w:keepLines/>
              <w:spacing w:after="0" w:line="240" w:lineRule="auto"/>
              <w:jc w:val="right"/>
            </w:pPr>
            <w:r>
              <w:rPr>
                <w:sz w:val="18"/>
              </w:rPr>
              <w:t>1.461.489,96</w:t>
            </w:r>
          </w:p>
        </w:tc>
        <w:tc>
          <w:tcPr>
            <w:tcW w:w="700" w:type="dxa"/>
            <w:tcMar>
              <w:top w:w="0" w:type="dxa"/>
              <w:bottom w:w="0" w:type="dxa"/>
            </w:tcMar>
            <w:vAlign w:val="center"/>
          </w:tcPr>
          <w:p w14:paraId="55D711FC" w14:textId="77777777" w:rsidR="00C54D29" w:rsidRDefault="005C3788">
            <w:pPr>
              <w:keepNext/>
              <w:keepLines/>
              <w:spacing w:after="0" w:line="240" w:lineRule="auto"/>
              <w:jc w:val="right"/>
            </w:pPr>
            <w:r>
              <w:rPr>
                <w:sz w:val="18"/>
              </w:rPr>
              <w:t>131,1</w:t>
            </w:r>
          </w:p>
        </w:tc>
      </w:tr>
      <w:tr w:rsidR="00C54D29" w14:paraId="449055CD" w14:textId="77777777">
        <w:tblPrEx>
          <w:tblCellMar>
            <w:top w:w="0" w:type="dxa"/>
            <w:bottom w:w="0" w:type="dxa"/>
          </w:tblCellMar>
        </w:tblPrEx>
        <w:trPr>
          <w:cantSplit/>
          <w:trHeight w:val="560"/>
        </w:trPr>
        <w:tc>
          <w:tcPr>
            <w:tcW w:w="700" w:type="dxa"/>
            <w:tcMar>
              <w:top w:w="0" w:type="dxa"/>
              <w:bottom w:w="0" w:type="dxa"/>
            </w:tcMar>
            <w:vAlign w:val="center"/>
          </w:tcPr>
          <w:p w14:paraId="5AD7596A" w14:textId="77777777" w:rsidR="00C54D29" w:rsidRDefault="005C3788">
            <w:pPr>
              <w:keepNext/>
              <w:keepLines/>
              <w:spacing w:after="0" w:line="240" w:lineRule="auto"/>
            </w:pPr>
            <w:r>
              <w:rPr>
                <w:sz w:val="18"/>
              </w:rPr>
              <w:t>3</w:t>
            </w:r>
          </w:p>
        </w:tc>
        <w:tc>
          <w:tcPr>
            <w:tcW w:w="3180" w:type="dxa"/>
            <w:tcMar>
              <w:top w:w="0" w:type="dxa"/>
              <w:bottom w:w="0" w:type="dxa"/>
            </w:tcMar>
            <w:vAlign w:val="center"/>
          </w:tcPr>
          <w:p w14:paraId="128E14F2" w14:textId="77777777" w:rsidR="00C54D29" w:rsidRDefault="005C3788">
            <w:pPr>
              <w:keepNext/>
              <w:keepLines/>
              <w:spacing w:after="0" w:line="240" w:lineRule="auto"/>
            </w:pPr>
            <w:r>
              <w:rPr>
                <w:sz w:val="18"/>
              </w:rPr>
              <w:t>RASHODI POSLOVANJA (šifre 31+32+34+35+36+37+38)</w:t>
            </w:r>
          </w:p>
        </w:tc>
        <w:tc>
          <w:tcPr>
            <w:tcW w:w="700" w:type="dxa"/>
            <w:tcMar>
              <w:top w:w="0" w:type="dxa"/>
              <w:bottom w:w="0" w:type="dxa"/>
            </w:tcMar>
            <w:vAlign w:val="center"/>
          </w:tcPr>
          <w:p w14:paraId="6FC64ECB" w14:textId="77777777" w:rsidR="00C54D29" w:rsidRDefault="005C3788">
            <w:pPr>
              <w:keepNext/>
              <w:keepLines/>
              <w:spacing w:after="0" w:line="240" w:lineRule="auto"/>
            </w:pPr>
            <w:r>
              <w:rPr>
                <w:sz w:val="18"/>
              </w:rPr>
              <w:t>3</w:t>
            </w:r>
          </w:p>
        </w:tc>
        <w:tc>
          <w:tcPr>
            <w:tcW w:w="1860" w:type="dxa"/>
            <w:tcMar>
              <w:top w:w="0" w:type="dxa"/>
              <w:bottom w:w="0" w:type="dxa"/>
            </w:tcMar>
            <w:vAlign w:val="center"/>
          </w:tcPr>
          <w:p w14:paraId="25C9BB82" w14:textId="77777777" w:rsidR="00C54D29" w:rsidRDefault="005C3788">
            <w:pPr>
              <w:keepNext/>
              <w:keepLines/>
              <w:spacing w:after="0" w:line="240" w:lineRule="auto"/>
              <w:jc w:val="right"/>
            </w:pPr>
            <w:r>
              <w:rPr>
                <w:sz w:val="18"/>
              </w:rPr>
              <w:t>611.100,74</w:t>
            </w:r>
          </w:p>
        </w:tc>
        <w:tc>
          <w:tcPr>
            <w:tcW w:w="1860" w:type="dxa"/>
            <w:tcMar>
              <w:top w:w="0" w:type="dxa"/>
              <w:bottom w:w="0" w:type="dxa"/>
            </w:tcMar>
            <w:vAlign w:val="center"/>
          </w:tcPr>
          <w:p w14:paraId="472B2425" w14:textId="77777777" w:rsidR="00C54D29" w:rsidRDefault="005C3788">
            <w:pPr>
              <w:keepNext/>
              <w:keepLines/>
              <w:spacing w:after="0" w:line="240" w:lineRule="auto"/>
              <w:jc w:val="right"/>
            </w:pPr>
            <w:r>
              <w:rPr>
                <w:sz w:val="18"/>
              </w:rPr>
              <w:t>676.614,39</w:t>
            </w:r>
          </w:p>
        </w:tc>
        <w:tc>
          <w:tcPr>
            <w:tcW w:w="700" w:type="dxa"/>
            <w:tcMar>
              <w:top w:w="0" w:type="dxa"/>
              <w:bottom w:w="0" w:type="dxa"/>
            </w:tcMar>
            <w:vAlign w:val="center"/>
          </w:tcPr>
          <w:p w14:paraId="5D1688F0" w14:textId="77777777" w:rsidR="00C54D29" w:rsidRDefault="005C3788">
            <w:pPr>
              <w:keepNext/>
              <w:keepLines/>
              <w:spacing w:after="0" w:line="240" w:lineRule="auto"/>
              <w:jc w:val="right"/>
            </w:pPr>
            <w:r>
              <w:rPr>
                <w:sz w:val="18"/>
              </w:rPr>
              <w:t>110,7</w:t>
            </w:r>
          </w:p>
        </w:tc>
      </w:tr>
      <w:tr w:rsidR="00C54D29" w14:paraId="3C023DD2" w14:textId="77777777">
        <w:tblPrEx>
          <w:tblCellMar>
            <w:top w:w="0" w:type="dxa"/>
            <w:bottom w:w="0" w:type="dxa"/>
          </w:tblCellMar>
        </w:tblPrEx>
        <w:trPr>
          <w:cantSplit/>
          <w:trHeight w:val="560"/>
        </w:trPr>
        <w:tc>
          <w:tcPr>
            <w:tcW w:w="700" w:type="dxa"/>
            <w:tcMar>
              <w:top w:w="0" w:type="dxa"/>
              <w:bottom w:w="0" w:type="dxa"/>
            </w:tcMar>
            <w:vAlign w:val="center"/>
          </w:tcPr>
          <w:p w14:paraId="7038618D" w14:textId="77777777" w:rsidR="00C54D29" w:rsidRDefault="00C54D29">
            <w:pPr>
              <w:keepNext/>
              <w:keepLines/>
              <w:spacing w:after="0" w:line="240" w:lineRule="auto"/>
            </w:pPr>
          </w:p>
        </w:tc>
        <w:tc>
          <w:tcPr>
            <w:tcW w:w="3180" w:type="dxa"/>
            <w:tcMar>
              <w:top w:w="0" w:type="dxa"/>
              <w:bottom w:w="0" w:type="dxa"/>
            </w:tcMar>
            <w:vAlign w:val="center"/>
          </w:tcPr>
          <w:p w14:paraId="3E035463" w14:textId="77777777" w:rsidR="00C54D29" w:rsidRDefault="005C3788">
            <w:pPr>
              <w:keepNext/>
              <w:keepLines/>
              <w:spacing w:after="0" w:line="240" w:lineRule="auto"/>
            </w:pPr>
            <w:r>
              <w:rPr>
                <w:b/>
                <w:sz w:val="18"/>
              </w:rPr>
              <w:t>VIŠAK PRIHODA POSLOVANJA (šifre 6-Z005)</w:t>
            </w:r>
          </w:p>
        </w:tc>
        <w:tc>
          <w:tcPr>
            <w:tcW w:w="700" w:type="dxa"/>
            <w:tcMar>
              <w:top w:w="0" w:type="dxa"/>
              <w:bottom w:w="0" w:type="dxa"/>
            </w:tcMar>
            <w:vAlign w:val="center"/>
          </w:tcPr>
          <w:p w14:paraId="20C91EAD" w14:textId="77777777" w:rsidR="00C54D29" w:rsidRDefault="005C3788">
            <w:pPr>
              <w:keepNext/>
              <w:keepLines/>
              <w:spacing w:after="0" w:line="240" w:lineRule="auto"/>
            </w:pPr>
            <w:r>
              <w:rPr>
                <w:b/>
                <w:sz w:val="18"/>
              </w:rPr>
              <w:t>X001</w:t>
            </w:r>
          </w:p>
        </w:tc>
        <w:tc>
          <w:tcPr>
            <w:tcW w:w="1860" w:type="dxa"/>
            <w:tcMar>
              <w:top w:w="0" w:type="dxa"/>
              <w:bottom w:w="0" w:type="dxa"/>
            </w:tcMar>
            <w:vAlign w:val="center"/>
          </w:tcPr>
          <w:p w14:paraId="5EAA9BFA" w14:textId="77777777" w:rsidR="00C54D29" w:rsidRDefault="005C3788">
            <w:pPr>
              <w:keepNext/>
              <w:keepLines/>
              <w:spacing w:after="0" w:line="240" w:lineRule="auto"/>
              <w:jc w:val="right"/>
            </w:pPr>
            <w:r>
              <w:rPr>
                <w:b/>
                <w:sz w:val="18"/>
              </w:rPr>
              <w:t>503.697,62</w:t>
            </w:r>
          </w:p>
        </w:tc>
        <w:tc>
          <w:tcPr>
            <w:tcW w:w="1860" w:type="dxa"/>
            <w:tcMar>
              <w:top w:w="0" w:type="dxa"/>
              <w:bottom w:w="0" w:type="dxa"/>
            </w:tcMar>
            <w:vAlign w:val="center"/>
          </w:tcPr>
          <w:p w14:paraId="522EAA73" w14:textId="77777777" w:rsidR="00C54D29" w:rsidRDefault="005C3788">
            <w:pPr>
              <w:keepNext/>
              <w:keepLines/>
              <w:spacing w:after="0" w:line="240" w:lineRule="auto"/>
              <w:jc w:val="right"/>
            </w:pPr>
            <w:r>
              <w:rPr>
                <w:b/>
                <w:sz w:val="18"/>
              </w:rPr>
              <w:t>784.875,57</w:t>
            </w:r>
          </w:p>
        </w:tc>
        <w:tc>
          <w:tcPr>
            <w:tcW w:w="700" w:type="dxa"/>
            <w:tcMar>
              <w:top w:w="0" w:type="dxa"/>
              <w:bottom w:w="0" w:type="dxa"/>
            </w:tcMar>
            <w:vAlign w:val="center"/>
          </w:tcPr>
          <w:p w14:paraId="634DD571" w14:textId="77777777" w:rsidR="00C54D29" w:rsidRDefault="005C3788">
            <w:pPr>
              <w:keepNext/>
              <w:keepLines/>
              <w:spacing w:after="0" w:line="240" w:lineRule="auto"/>
              <w:jc w:val="right"/>
            </w:pPr>
            <w:r>
              <w:rPr>
                <w:b/>
                <w:sz w:val="18"/>
              </w:rPr>
              <w:t>155,8</w:t>
            </w:r>
          </w:p>
        </w:tc>
      </w:tr>
      <w:tr w:rsidR="00C54D29" w14:paraId="6554A6A7" w14:textId="77777777">
        <w:tblPrEx>
          <w:tblCellMar>
            <w:top w:w="0" w:type="dxa"/>
            <w:bottom w:w="0" w:type="dxa"/>
          </w:tblCellMar>
        </w:tblPrEx>
        <w:trPr>
          <w:cantSplit/>
          <w:trHeight w:val="560"/>
        </w:trPr>
        <w:tc>
          <w:tcPr>
            <w:tcW w:w="700" w:type="dxa"/>
            <w:tcMar>
              <w:top w:w="0" w:type="dxa"/>
              <w:bottom w:w="0" w:type="dxa"/>
            </w:tcMar>
            <w:vAlign w:val="center"/>
          </w:tcPr>
          <w:p w14:paraId="3D0A7F1A" w14:textId="77777777" w:rsidR="00C54D29" w:rsidRDefault="005C3788">
            <w:pPr>
              <w:keepNext/>
              <w:keepLines/>
              <w:spacing w:after="0" w:line="240" w:lineRule="auto"/>
            </w:pPr>
            <w:r>
              <w:rPr>
                <w:sz w:val="18"/>
              </w:rPr>
              <w:t>7</w:t>
            </w:r>
          </w:p>
        </w:tc>
        <w:tc>
          <w:tcPr>
            <w:tcW w:w="3180" w:type="dxa"/>
            <w:tcMar>
              <w:top w:w="0" w:type="dxa"/>
              <w:bottom w:w="0" w:type="dxa"/>
            </w:tcMar>
            <w:vAlign w:val="center"/>
          </w:tcPr>
          <w:p w14:paraId="56BACBCE" w14:textId="77777777" w:rsidR="00C54D29" w:rsidRDefault="005C3788">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572982FD" w14:textId="77777777" w:rsidR="00C54D29" w:rsidRDefault="005C3788">
            <w:pPr>
              <w:keepNext/>
              <w:keepLines/>
              <w:spacing w:after="0" w:line="240" w:lineRule="auto"/>
            </w:pPr>
            <w:r>
              <w:rPr>
                <w:sz w:val="18"/>
              </w:rPr>
              <w:t>7</w:t>
            </w:r>
          </w:p>
        </w:tc>
        <w:tc>
          <w:tcPr>
            <w:tcW w:w="1860" w:type="dxa"/>
            <w:tcMar>
              <w:top w:w="0" w:type="dxa"/>
              <w:bottom w:w="0" w:type="dxa"/>
            </w:tcMar>
            <w:vAlign w:val="center"/>
          </w:tcPr>
          <w:p w14:paraId="6E9305FD" w14:textId="77777777" w:rsidR="00C54D29" w:rsidRDefault="005C3788">
            <w:pPr>
              <w:keepNext/>
              <w:keepLines/>
              <w:spacing w:after="0" w:line="240" w:lineRule="auto"/>
              <w:jc w:val="right"/>
            </w:pPr>
            <w:r>
              <w:rPr>
                <w:sz w:val="18"/>
              </w:rPr>
              <w:t>0,00</w:t>
            </w:r>
          </w:p>
        </w:tc>
        <w:tc>
          <w:tcPr>
            <w:tcW w:w="1860" w:type="dxa"/>
            <w:tcMar>
              <w:top w:w="0" w:type="dxa"/>
              <w:bottom w:w="0" w:type="dxa"/>
            </w:tcMar>
            <w:vAlign w:val="center"/>
          </w:tcPr>
          <w:p w14:paraId="1959B233" w14:textId="77777777" w:rsidR="00C54D29" w:rsidRDefault="005C3788">
            <w:pPr>
              <w:keepNext/>
              <w:keepLines/>
              <w:spacing w:after="0" w:line="240" w:lineRule="auto"/>
              <w:jc w:val="right"/>
            </w:pPr>
            <w:r>
              <w:rPr>
                <w:sz w:val="18"/>
              </w:rPr>
              <w:t>0,00</w:t>
            </w:r>
          </w:p>
        </w:tc>
        <w:tc>
          <w:tcPr>
            <w:tcW w:w="700" w:type="dxa"/>
            <w:tcMar>
              <w:top w:w="0" w:type="dxa"/>
              <w:bottom w:w="0" w:type="dxa"/>
            </w:tcMar>
            <w:vAlign w:val="center"/>
          </w:tcPr>
          <w:p w14:paraId="21160899" w14:textId="77777777" w:rsidR="00C54D29" w:rsidRDefault="005C3788">
            <w:pPr>
              <w:keepNext/>
              <w:keepLines/>
              <w:spacing w:after="0" w:line="240" w:lineRule="auto"/>
              <w:jc w:val="right"/>
            </w:pPr>
            <w:r>
              <w:rPr>
                <w:sz w:val="18"/>
              </w:rPr>
              <w:t>-</w:t>
            </w:r>
          </w:p>
        </w:tc>
      </w:tr>
      <w:tr w:rsidR="00C54D29" w14:paraId="3E4BD9C5" w14:textId="77777777">
        <w:tblPrEx>
          <w:tblCellMar>
            <w:top w:w="0" w:type="dxa"/>
            <w:bottom w:w="0" w:type="dxa"/>
          </w:tblCellMar>
        </w:tblPrEx>
        <w:trPr>
          <w:cantSplit/>
          <w:trHeight w:val="560"/>
        </w:trPr>
        <w:tc>
          <w:tcPr>
            <w:tcW w:w="700" w:type="dxa"/>
            <w:tcMar>
              <w:top w:w="0" w:type="dxa"/>
              <w:bottom w:w="0" w:type="dxa"/>
            </w:tcMar>
            <w:vAlign w:val="center"/>
          </w:tcPr>
          <w:p w14:paraId="7B8A4309" w14:textId="77777777" w:rsidR="00C54D29" w:rsidRDefault="005C3788">
            <w:pPr>
              <w:keepNext/>
              <w:keepLines/>
              <w:spacing w:after="0" w:line="240" w:lineRule="auto"/>
            </w:pPr>
            <w:r>
              <w:rPr>
                <w:sz w:val="18"/>
              </w:rPr>
              <w:t>4</w:t>
            </w:r>
          </w:p>
        </w:tc>
        <w:tc>
          <w:tcPr>
            <w:tcW w:w="3180" w:type="dxa"/>
            <w:tcMar>
              <w:top w:w="0" w:type="dxa"/>
              <w:bottom w:w="0" w:type="dxa"/>
            </w:tcMar>
            <w:vAlign w:val="center"/>
          </w:tcPr>
          <w:p w14:paraId="023A9F78" w14:textId="77777777" w:rsidR="00C54D29" w:rsidRDefault="005C3788">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1E0460FD" w14:textId="77777777" w:rsidR="00C54D29" w:rsidRDefault="005C3788">
            <w:pPr>
              <w:keepNext/>
              <w:keepLines/>
              <w:spacing w:after="0" w:line="240" w:lineRule="auto"/>
            </w:pPr>
            <w:r>
              <w:rPr>
                <w:sz w:val="18"/>
              </w:rPr>
              <w:t>4</w:t>
            </w:r>
          </w:p>
        </w:tc>
        <w:tc>
          <w:tcPr>
            <w:tcW w:w="1860" w:type="dxa"/>
            <w:tcMar>
              <w:top w:w="0" w:type="dxa"/>
              <w:bottom w:w="0" w:type="dxa"/>
            </w:tcMar>
            <w:vAlign w:val="center"/>
          </w:tcPr>
          <w:p w14:paraId="29098BB4" w14:textId="77777777" w:rsidR="00C54D29" w:rsidRDefault="005C3788">
            <w:pPr>
              <w:keepNext/>
              <w:keepLines/>
              <w:spacing w:after="0" w:line="240" w:lineRule="auto"/>
              <w:jc w:val="right"/>
            </w:pPr>
            <w:r>
              <w:rPr>
                <w:sz w:val="18"/>
              </w:rPr>
              <w:t>1.295,00</w:t>
            </w:r>
          </w:p>
        </w:tc>
        <w:tc>
          <w:tcPr>
            <w:tcW w:w="1860" w:type="dxa"/>
            <w:tcMar>
              <w:top w:w="0" w:type="dxa"/>
              <w:bottom w:w="0" w:type="dxa"/>
            </w:tcMar>
            <w:vAlign w:val="center"/>
          </w:tcPr>
          <w:p w14:paraId="6E412EF0" w14:textId="77777777" w:rsidR="00C54D29" w:rsidRDefault="005C3788">
            <w:pPr>
              <w:keepNext/>
              <w:keepLines/>
              <w:spacing w:after="0" w:line="240" w:lineRule="auto"/>
              <w:jc w:val="right"/>
            </w:pPr>
            <w:r>
              <w:rPr>
                <w:sz w:val="18"/>
              </w:rPr>
              <w:t>0,00</w:t>
            </w:r>
          </w:p>
        </w:tc>
        <w:tc>
          <w:tcPr>
            <w:tcW w:w="700" w:type="dxa"/>
            <w:tcMar>
              <w:top w:w="0" w:type="dxa"/>
              <w:bottom w:w="0" w:type="dxa"/>
            </w:tcMar>
            <w:vAlign w:val="center"/>
          </w:tcPr>
          <w:p w14:paraId="55B29004" w14:textId="77777777" w:rsidR="00C54D29" w:rsidRDefault="005C3788">
            <w:pPr>
              <w:keepNext/>
              <w:keepLines/>
              <w:spacing w:after="0" w:line="240" w:lineRule="auto"/>
              <w:jc w:val="right"/>
            </w:pPr>
            <w:r>
              <w:rPr>
                <w:sz w:val="18"/>
              </w:rPr>
              <w:t>0</w:t>
            </w:r>
          </w:p>
        </w:tc>
      </w:tr>
      <w:tr w:rsidR="00C54D29" w14:paraId="7CEAD3DB" w14:textId="77777777">
        <w:tblPrEx>
          <w:tblCellMar>
            <w:top w:w="0" w:type="dxa"/>
            <w:bottom w:w="0" w:type="dxa"/>
          </w:tblCellMar>
        </w:tblPrEx>
        <w:trPr>
          <w:cantSplit/>
          <w:trHeight w:val="560"/>
        </w:trPr>
        <w:tc>
          <w:tcPr>
            <w:tcW w:w="700" w:type="dxa"/>
            <w:tcMar>
              <w:top w:w="0" w:type="dxa"/>
              <w:bottom w:w="0" w:type="dxa"/>
            </w:tcMar>
            <w:vAlign w:val="center"/>
          </w:tcPr>
          <w:p w14:paraId="7EEE3F1E" w14:textId="77777777" w:rsidR="00C54D29" w:rsidRDefault="00C54D29">
            <w:pPr>
              <w:keepNext/>
              <w:keepLines/>
              <w:spacing w:after="0" w:line="240" w:lineRule="auto"/>
            </w:pPr>
          </w:p>
        </w:tc>
        <w:tc>
          <w:tcPr>
            <w:tcW w:w="3180" w:type="dxa"/>
            <w:tcMar>
              <w:top w:w="0" w:type="dxa"/>
              <w:bottom w:w="0" w:type="dxa"/>
            </w:tcMar>
            <w:vAlign w:val="center"/>
          </w:tcPr>
          <w:p w14:paraId="14F858F6" w14:textId="77777777" w:rsidR="00C54D29" w:rsidRDefault="005C3788">
            <w:pPr>
              <w:keepNext/>
              <w:keepLines/>
              <w:spacing w:after="0" w:line="240" w:lineRule="auto"/>
            </w:pPr>
            <w:r>
              <w:rPr>
                <w:b/>
                <w:sz w:val="18"/>
              </w:rPr>
              <w:t>VIŠAK/MANJAK PRIHODA OD NEFINANCIJSKE IMOVINE (šifre 7-4, 4-7)</w:t>
            </w:r>
          </w:p>
        </w:tc>
        <w:tc>
          <w:tcPr>
            <w:tcW w:w="700" w:type="dxa"/>
            <w:tcMar>
              <w:top w:w="0" w:type="dxa"/>
              <w:bottom w:w="0" w:type="dxa"/>
            </w:tcMar>
            <w:vAlign w:val="center"/>
          </w:tcPr>
          <w:p w14:paraId="1679A0F9" w14:textId="77777777" w:rsidR="00C54D29" w:rsidRDefault="005C3788">
            <w:pPr>
              <w:keepNext/>
              <w:keepLines/>
              <w:spacing w:after="0" w:line="240" w:lineRule="auto"/>
            </w:pPr>
            <w:r>
              <w:rPr>
                <w:b/>
                <w:sz w:val="18"/>
              </w:rPr>
              <w:t>X002, Y002</w:t>
            </w:r>
          </w:p>
        </w:tc>
        <w:tc>
          <w:tcPr>
            <w:tcW w:w="1860" w:type="dxa"/>
            <w:tcMar>
              <w:top w:w="0" w:type="dxa"/>
              <w:bottom w:w="0" w:type="dxa"/>
            </w:tcMar>
            <w:vAlign w:val="center"/>
          </w:tcPr>
          <w:p w14:paraId="53212E7F" w14:textId="77777777" w:rsidR="00C54D29" w:rsidRDefault="005C3788">
            <w:pPr>
              <w:keepNext/>
              <w:keepLines/>
              <w:spacing w:after="0" w:line="240" w:lineRule="auto"/>
              <w:jc w:val="right"/>
            </w:pPr>
            <w:r>
              <w:rPr>
                <w:b/>
                <w:sz w:val="18"/>
              </w:rPr>
              <w:t>1.295,00</w:t>
            </w:r>
          </w:p>
        </w:tc>
        <w:tc>
          <w:tcPr>
            <w:tcW w:w="1860" w:type="dxa"/>
            <w:tcMar>
              <w:top w:w="0" w:type="dxa"/>
              <w:bottom w:w="0" w:type="dxa"/>
            </w:tcMar>
            <w:vAlign w:val="center"/>
          </w:tcPr>
          <w:p w14:paraId="3B01A743" w14:textId="77777777" w:rsidR="00C54D29" w:rsidRDefault="005C3788">
            <w:pPr>
              <w:keepNext/>
              <w:keepLines/>
              <w:spacing w:after="0" w:line="240" w:lineRule="auto"/>
              <w:jc w:val="right"/>
            </w:pPr>
            <w:r>
              <w:rPr>
                <w:b/>
                <w:sz w:val="18"/>
              </w:rPr>
              <w:t>0,00</w:t>
            </w:r>
          </w:p>
        </w:tc>
        <w:tc>
          <w:tcPr>
            <w:tcW w:w="700" w:type="dxa"/>
            <w:tcMar>
              <w:top w:w="0" w:type="dxa"/>
              <w:bottom w:w="0" w:type="dxa"/>
            </w:tcMar>
            <w:vAlign w:val="center"/>
          </w:tcPr>
          <w:p w14:paraId="497A891C" w14:textId="77777777" w:rsidR="00C54D29" w:rsidRDefault="005C3788">
            <w:pPr>
              <w:keepNext/>
              <w:keepLines/>
              <w:spacing w:after="0" w:line="240" w:lineRule="auto"/>
              <w:jc w:val="right"/>
            </w:pPr>
            <w:r>
              <w:rPr>
                <w:b/>
                <w:sz w:val="18"/>
              </w:rPr>
              <w:t>0</w:t>
            </w:r>
          </w:p>
        </w:tc>
      </w:tr>
      <w:tr w:rsidR="00C54D29" w14:paraId="3086EABB" w14:textId="77777777">
        <w:tblPrEx>
          <w:tblCellMar>
            <w:top w:w="0" w:type="dxa"/>
            <w:bottom w:w="0" w:type="dxa"/>
          </w:tblCellMar>
        </w:tblPrEx>
        <w:trPr>
          <w:cantSplit/>
          <w:trHeight w:val="560"/>
        </w:trPr>
        <w:tc>
          <w:tcPr>
            <w:tcW w:w="700" w:type="dxa"/>
            <w:tcMar>
              <w:top w:w="0" w:type="dxa"/>
              <w:bottom w:w="0" w:type="dxa"/>
            </w:tcMar>
            <w:vAlign w:val="center"/>
          </w:tcPr>
          <w:p w14:paraId="57CE6CD9" w14:textId="77777777" w:rsidR="00C54D29" w:rsidRDefault="005C3788">
            <w:pPr>
              <w:keepNext/>
              <w:keepLines/>
              <w:spacing w:after="0" w:line="240" w:lineRule="auto"/>
            </w:pPr>
            <w:r>
              <w:rPr>
                <w:sz w:val="18"/>
              </w:rPr>
              <w:t>8</w:t>
            </w:r>
          </w:p>
        </w:tc>
        <w:tc>
          <w:tcPr>
            <w:tcW w:w="3180" w:type="dxa"/>
            <w:tcMar>
              <w:top w:w="0" w:type="dxa"/>
              <w:bottom w:w="0" w:type="dxa"/>
            </w:tcMar>
            <w:vAlign w:val="center"/>
          </w:tcPr>
          <w:p w14:paraId="25329714" w14:textId="77777777" w:rsidR="00C54D29" w:rsidRDefault="005C3788">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20DA905E" w14:textId="77777777" w:rsidR="00C54D29" w:rsidRDefault="005C3788">
            <w:pPr>
              <w:keepNext/>
              <w:keepLines/>
              <w:spacing w:after="0" w:line="240" w:lineRule="auto"/>
            </w:pPr>
            <w:r>
              <w:rPr>
                <w:sz w:val="18"/>
              </w:rPr>
              <w:t>8</w:t>
            </w:r>
          </w:p>
        </w:tc>
        <w:tc>
          <w:tcPr>
            <w:tcW w:w="1860" w:type="dxa"/>
            <w:tcMar>
              <w:top w:w="0" w:type="dxa"/>
              <w:bottom w:w="0" w:type="dxa"/>
            </w:tcMar>
            <w:vAlign w:val="center"/>
          </w:tcPr>
          <w:p w14:paraId="7BE11F2A" w14:textId="77777777" w:rsidR="00C54D29" w:rsidRDefault="005C3788">
            <w:pPr>
              <w:keepNext/>
              <w:keepLines/>
              <w:spacing w:after="0" w:line="240" w:lineRule="auto"/>
              <w:jc w:val="right"/>
            </w:pPr>
            <w:r>
              <w:rPr>
                <w:sz w:val="18"/>
              </w:rPr>
              <w:t>0,00</w:t>
            </w:r>
          </w:p>
        </w:tc>
        <w:tc>
          <w:tcPr>
            <w:tcW w:w="1860" w:type="dxa"/>
            <w:tcMar>
              <w:top w:w="0" w:type="dxa"/>
              <w:bottom w:w="0" w:type="dxa"/>
            </w:tcMar>
            <w:vAlign w:val="center"/>
          </w:tcPr>
          <w:p w14:paraId="0675973B" w14:textId="77777777" w:rsidR="00C54D29" w:rsidRDefault="005C3788">
            <w:pPr>
              <w:keepNext/>
              <w:keepLines/>
              <w:spacing w:after="0" w:line="240" w:lineRule="auto"/>
              <w:jc w:val="right"/>
            </w:pPr>
            <w:r>
              <w:rPr>
                <w:sz w:val="18"/>
              </w:rPr>
              <w:t>0,00</w:t>
            </w:r>
          </w:p>
        </w:tc>
        <w:tc>
          <w:tcPr>
            <w:tcW w:w="700" w:type="dxa"/>
            <w:tcMar>
              <w:top w:w="0" w:type="dxa"/>
              <w:bottom w:w="0" w:type="dxa"/>
            </w:tcMar>
            <w:vAlign w:val="center"/>
          </w:tcPr>
          <w:p w14:paraId="68376768" w14:textId="77777777" w:rsidR="00C54D29" w:rsidRDefault="005C3788">
            <w:pPr>
              <w:keepNext/>
              <w:keepLines/>
              <w:spacing w:after="0" w:line="240" w:lineRule="auto"/>
              <w:jc w:val="right"/>
            </w:pPr>
            <w:r>
              <w:rPr>
                <w:sz w:val="18"/>
              </w:rPr>
              <w:t>-</w:t>
            </w:r>
          </w:p>
        </w:tc>
      </w:tr>
      <w:tr w:rsidR="00C54D29" w14:paraId="432167EB" w14:textId="77777777">
        <w:tblPrEx>
          <w:tblCellMar>
            <w:top w:w="0" w:type="dxa"/>
            <w:bottom w:w="0" w:type="dxa"/>
          </w:tblCellMar>
        </w:tblPrEx>
        <w:trPr>
          <w:cantSplit/>
          <w:trHeight w:val="560"/>
        </w:trPr>
        <w:tc>
          <w:tcPr>
            <w:tcW w:w="700" w:type="dxa"/>
            <w:tcMar>
              <w:top w:w="0" w:type="dxa"/>
              <w:bottom w:w="0" w:type="dxa"/>
            </w:tcMar>
            <w:vAlign w:val="center"/>
          </w:tcPr>
          <w:p w14:paraId="42E7DBA1" w14:textId="77777777" w:rsidR="00C54D29" w:rsidRDefault="005C3788">
            <w:pPr>
              <w:keepNext/>
              <w:keepLines/>
              <w:spacing w:after="0" w:line="240" w:lineRule="auto"/>
            </w:pPr>
            <w:r>
              <w:rPr>
                <w:sz w:val="18"/>
              </w:rPr>
              <w:t>5</w:t>
            </w:r>
          </w:p>
        </w:tc>
        <w:tc>
          <w:tcPr>
            <w:tcW w:w="3180" w:type="dxa"/>
            <w:tcMar>
              <w:top w:w="0" w:type="dxa"/>
              <w:bottom w:w="0" w:type="dxa"/>
            </w:tcMar>
            <w:vAlign w:val="center"/>
          </w:tcPr>
          <w:p w14:paraId="53E18535" w14:textId="77777777" w:rsidR="00C54D29" w:rsidRDefault="005C3788">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0DC0144E" w14:textId="77777777" w:rsidR="00C54D29" w:rsidRDefault="005C3788">
            <w:pPr>
              <w:keepNext/>
              <w:keepLines/>
              <w:spacing w:after="0" w:line="240" w:lineRule="auto"/>
            </w:pPr>
            <w:r>
              <w:rPr>
                <w:sz w:val="18"/>
              </w:rPr>
              <w:t>5</w:t>
            </w:r>
          </w:p>
        </w:tc>
        <w:tc>
          <w:tcPr>
            <w:tcW w:w="1860" w:type="dxa"/>
            <w:tcMar>
              <w:top w:w="0" w:type="dxa"/>
              <w:bottom w:w="0" w:type="dxa"/>
            </w:tcMar>
            <w:vAlign w:val="center"/>
          </w:tcPr>
          <w:p w14:paraId="1CD7A3D8" w14:textId="77777777" w:rsidR="00C54D29" w:rsidRDefault="005C3788">
            <w:pPr>
              <w:keepNext/>
              <w:keepLines/>
              <w:spacing w:after="0" w:line="240" w:lineRule="auto"/>
              <w:jc w:val="right"/>
            </w:pPr>
            <w:r>
              <w:rPr>
                <w:sz w:val="18"/>
              </w:rPr>
              <w:t>0,00</w:t>
            </w:r>
          </w:p>
        </w:tc>
        <w:tc>
          <w:tcPr>
            <w:tcW w:w="1860" w:type="dxa"/>
            <w:tcMar>
              <w:top w:w="0" w:type="dxa"/>
              <w:bottom w:w="0" w:type="dxa"/>
            </w:tcMar>
            <w:vAlign w:val="center"/>
          </w:tcPr>
          <w:p w14:paraId="17B54F17" w14:textId="77777777" w:rsidR="00C54D29" w:rsidRDefault="005C3788">
            <w:pPr>
              <w:keepNext/>
              <w:keepLines/>
              <w:spacing w:after="0" w:line="240" w:lineRule="auto"/>
              <w:jc w:val="right"/>
            </w:pPr>
            <w:r>
              <w:rPr>
                <w:sz w:val="18"/>
              </w:rPr>
              <w:t>0,00</w:t>
            </w:r>
          </w:p>
        </w:tc>
        <w:tc>
          <w:tcPr>
            <w:tcW w:w="700" w:type="dxa"/>
            <w:tcMar>
              <w:top w:w="0" w:type="dxa"/>
              <w:bottom w:w="0" w:type="dxa"/>
            </w:tcMar>
            <w:vAlign w:val="center"/>
          </w:tcPr>
          <w:p w14:paraId="21A7F2FC" w14:textId="77777777" w:rsidR="00C54D29" w:rsidRDefault="005C3788">
            <w:pPr>
              <w:keepNext/>
              <w:keepLines/>
              <w:spacing w:after="0" w:line="240" w:lineRule="auto"/>
              <w:jc w:val="right"/>
            </w:pPr>
            <w:r>
              <w:rPr>
                <w:sz w:val="18"/>
              </w:rPr>
              <w:t>-</w:t>
            </w:r>
          </w:p>
        </w:tc>
      </w:tr>
      <w:tr w:rsidR="00C54D29" w14:paraId="21E3D924" w14:textId="77777777">
        <w:tblPrEx>
          <w:tblCellMar>
            <w:top w:w="0" w:type="dxa"/>
            <w:bottom w:w="0" w:type="dxa"/>
          </w:tblCellMar>
        </w:tblPrEx>
        <w:trPr>
          <w:cantSplit/>
          <w:trHeight w:val="560"/>
        </w:trPr>
        <w:tc>
          <w:tcPr>
            <w:tcW w:w="700" w:type="dxa"/>
            <w:tcMar>
              <w:top w:w="0" w:type="dxa"/>
              <w:bottom w:w="0" w:type="dxa"/>
            </w:tcMar>
            <w:vAlign w:val="center"/>
          </w:tcPr>
          <w:p w14:paraId="739C68F3" w14:textId="77777777" w:rsidR="00C54D29" w:rsidRDefault="00C54D29">
            <w:pPr>
              <w:keepNext/>
              <w:keepLines/>
              <w:spacing w:after="0" w:line="240" w:lineRule="auto"/>
            </w:pPr>
          </w:p>
        </w:tc>
        <w:tc>
          <w:tcPr>
            <w:tcW w:w="3180" w:type="dxa"/>
            <w:tcMar>
              <w:top w:w="0" w:type="dxa"/>
              <w:bottom w:w="0" w:type="dxa"/>
            </w:tcMar>
            <w:vAlign w:val="center"/>
          </w:tcPr>
          <w:p w14:paraId="52733686" w14:textId="77777777" w:rsidR="00C54D29" w:rsidRDefault="005C3788">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28FFA373" w14:textId="77777777" w:rsidR="00C54D29" w:rsidRDefault="005C3788">
            <w:pPr>
              <w:keepNext/>
              <w:keepLines/>
              <w:spacing w:after="0" w:line="240" w:lineRule="auto"/>
            </w:pPr>
            <w:r>
              <w:rPr>
                <w:b/>
                <w:sz w:val="18"/>
              </w:rPr>
              <w:t>X003, Y003</w:t>
            </w:r>
          </w:p>
        </w:tc>
        <w:tc>
          <w:tcPr>
            <w:tcW w:w="1860" w:type="dxa"/>
            <w:tcMar>
              <w:top w:w="0" w:type="dxa"/>
              <w:bottom w:w="0" w:type="dxa"/>
            </w:tcMar>
            <w:vAlign w:val="center"/>
          </w:tcPr>
          <w:p w14:paraId="722E3469" w14:textId="77777777" w:rsidR="00C54D29" w:rsidRDefault="005C3788">
            <w:pPr>
              <w:keepNext/>
              <w:keepLines/>
              <w:spacing w:after="0" w:line="240" w:lineRule="auto"/>
              <w:jc w:val="right"/>
            </w:pPr>
            <w:r>
              <w:rPr>
                <w:b/>
                <w:sz w:val="18"/>
              </w:rPr>
              <w:t>0,00</w:t>
            </w:r>
          </w:p>
        </w:tc>
        <w:tc>
          <w:tcPr>
            <w:tcW w:w="1860" w:type="dxa"/>
            <w:tcMar>
              <w:top w:w="0" w:type="dxa"/>
              <w:bottom w:w="0" w:type="dxa"/>
            </w:tcMar>
            <w:vAlign w:val="center"/>
          </w:tcPr>
          <w:p w14:paraId="719DA4D7" w14:textId="77777777" w:rsidR="00C54D29" w:rsidRDefault="005C3788">
            <w:pPr>
              <w:keepNext/>
              <w:keepLines/>
              <w:spacing w:after="0" w:line="240" w:lineRule="auto"/>
              <w:jc w:val="right"/>
            </w:pPr>
            <w:r>
              <w:rPr>
                <w:b/>
                <w:sz w:val="18"/>
              </w:rPr>
              <w:t>0,00</w:t>
            </w:r>
          </w:p>
        </w:tc>
        <w:tc>
          <w:tcPr>
            <w:tcW w:w="700" w:type="dxa"/>
            <w:tcMar>
              <w:top w:w="0" w:type="dxa"/>
              <w:bottom w:w="0" w:type="dxa"/>
            </w:tcMar>
            <w:vAlign w:val="center"/>
          </w:tcPr>
          <w:p w14:paraId="47C9C052" w14:textId="77777777" w:rsidR="00C54D29" w:rsidRDefault="005C3788">
            <w:pPr>
              <w:keepNext/>
              <w:keepLines/>
              <w:spacing w:after="0" w:line="240" w:lineRule="auto"/>
              <w:jc w:val="right"/>
            </w:pPr>
            <w:r>
              <w:rPr>
                <w:b/>
                <w:sz w:val="18"/>
              </w:rPr>
              <w:t>-</w:t>
            </w:r>
          </w:p>
        </w:tc>
      </w:tr>
      <w:tr w:rsidR="00C54D29" w14:paraId="01CDF762" w14:textId="77777777">
        <w:tblPrEx>
          <w:tblCellMar>
            <w:top w:w="0" w:type="dxa"/>
            <w:bottom w:w="0" w:type="dxa"/>
          </w:tblCellMar>
        </w:tblPrEx>
        <w:trPr>
          <w:cantSplit/>
          <w:trHeight w:val="560"/>
        </w:trPr>
        <w:tc>
          <w:tcPr>
            <w:tcW w:w="700" w:type="dxa"/>
            <w:tcMar>
              <w:top w:w="0" w:type="dxa"/>
              <w:bottom w:w="0" w:type="dxa"/>
            </w:tcMar>
            <w:vAlign w:val="center"/>
          </w:tcPr>
          <w:p w14:paraId="3D0DFB44" w14:textId="77777777" w:rsidR="00C54D29" w:rsidRDefault="00C54D29">
            <w:pPr>
              <w:keepNext/>
              <w:keepLines/>
              <w:spacing w:after="0" w:line="240" w:lineRule="auto"/>
            </w:pPr>
          </w:p>
        </w:tc>
        <w:tc>
          <w:tcPr>
            <w:tcW w:w="3180" w:type="dxa"/>
            <w:tcMar>
              <w:top w:w="0" w:type="dxa"/>
              <w:bottom w:w="0" w:type="dxa"/>
            </w:tcMar>
            <w:vAlign w:val="center"/>
          </w:tcPr>
          <w:p w14:paraId="5C6D3A97" w14:textId="77777777" w:rsidR="00C54D29" w:rsidRDefault="005C3788">
            <w:pPr>
              <w:keepNext/>
              <w:keepLines/>
              <w:spacing w:after="0" w:line="240" w:lineRule="auto"/>
            </w:pPr>
            <w:r>
              <w:rPr>
                <w:b/>
                <w:sz w:val="18"/>
              </w:rPr>
              <w:t>VIŠAK PRIHODA I PRIMITAKA (šifre X678-Y345)</w:t>
            </w:r>
          </w:p>
        </w:tc>
        <w:tc>
          <w:tcPr>
            <w:tcW w:w="700" w:type="dxa"/>
            <w:tcMar>
              <w:top w:w="0" w:type="dxa"/>
              <w:bottom w:w="0" w:type="dxa"/>
            </w:tcMar>
            <w:vAlign w:val="center"/>
          </w:tcPr>
          <w:p w14:paraId="656D995B" w14:textId="77777777" w:rsidR="00C54D29" w:rsidRDefault="005C3788">
            <w:pPr>
              <w:keepNext/>
              <w:keepLines/>
              <w:spacing w:after="0" w:line="240" w:lineRule="auto"/>
            </w:pPr>
            <w:r>
              <w:rPr>
                <w:b/>
                <w:sz w:val="18"/>
              </w:rPr>
              <w:t>X005</w:t>
            </w:r>
          </w:p>
        </w:tc>
        <w:tc>
          <w:tcPr>
            <w:tcW w:w="1860" w:type="dxa"/>
            <w:tcMar>
              <w:top w:w="0" w:type="dxa"/>
              <w:bottom w:w="0" w:type="dxa"/>
            </w:tcMar>
            <w:vAlign w:val="center"/>
          </w:tcPr>
          <w:p w14:paraId="38A1247B" w14:textId="77777777" w:rsidR="00C54D29" w:rsidRDefault="005C3788">
            <w:pPr>
              <w:keepNext/>
              <w:keepLines/>
              <w:spacing w:after="0" w:line="240" w:lineRule="auto"/>
              <w:jc w:val="right"/>
            </w:pPr>
            <w:r>
              <w:rPr>
                <w:b/>
                <w:sz w:val="18"/>
              </w:rPr>
              <w:t>502.402,62</w:t>
            </w:r>
          </w:p>
        </w:tc>
        <w:tc>
          <w:tcPr>
            <w:tcW w:w="1860" w:type="dxa"/>
            <w:tcMar>
              <w:top w:w="0" w:type="dxa"/>
              <w:bottom w:w="0" w:type="dxa"/>
            </w:tcMar>
            <w:vAlign w:val="center"/>
          </w:tcPr>
          <w:p w14:paraId="19015628" w14:textId="77777777" w:rsidR="00C54D29" w:rsidRDefault="005C3788">
            <w:pPr>
              <w:keepNext/>
              <w:keepLines/>
              <w:spacing w:after="0" w:line="240" w:lineRule="auto"/>
              <w:jc w:val="right"/>
            </w:pPr>
            <w:r>
              <w:rPr>
                <w:b/>
                <w:sz w:val="18"/>
              </w:rPr>
              <w:t>784.875,57</w:t>
            </w:r>
          </w:p>
        </w:tc>
        <w:tc>
          <w:tcPr>
            <w:tcW w:w="700" w:type="dxa"/>
            <w:tcMar>
              <w:top w:w="0" w:type="dxa"/>
              <w:bottom w:w="0" w:type="dxa"/>
            </w:tcMar>
            <w:vAlign w:val="center"/>
          </w:tcPr>
          <w:p w14:paraId="6352FD58" w14:textId="77777777" w:rsidR="00C54D29" w:rsidRDefault="005C3788">
            <w:pPr>
              <w:keepNext/>
              <w:keepLines/>
              <w:spacing w:after="0" w:line="240" w:lineRule="auto"/>
              <w:jc w:val="right"/>
            </w:pPr>
            <w:r>
              <w:rPr>
                <w:b/>
                <w:sz w:val="18"/>
              </w:rPr>
              <w:t>156,2</w:t>
            </w:r>
          </w:p>
        </w:tc>
      </w:tr>
    </w:tbl>
    <w:p w14:paraId="559818FB" w14:textId="77777777" w:rsidR="00C54D29" w:rsidRDefault="00C54D29">
      <w:pPr>
        <w:spacing w:after="0"/>
      </w:pPr>
    </w:p>
    <w:p w14:paraId="47033FBC" w14:textId="77777777" w:rsidR="00C54D29" w:rsidRDefault="005C3788">
      <w:pPr>
        <w:spacing w:line="240" w:lineRule="auto"/>
        <w:jc w:val="both"/>
      </w:pPr>
      <w:r>
        <w:t>U prvom polugodištu 2025. godine ostvareni prihodi veći su za 31,1% u odnosu na isto razdoblje prethodne godine. Prihodi su ostvareni iz državnog proračuna Republike Hrvatske, temeljem Odluke ministra nadležnog za rad o korištenju i raspodjeli sredstava uplaćenih s osnove novčane naknade. Manji dio prihoda ostvaren je pružanjem usluga profesionalne rehabilitacije. Rashodi su izvršeni u skladu s planiranim aktivnostima. Na kraju razdoblja ostvaren je višak prihoda u iznosu 784.875,57 eura.</w:t>
      </w:r>
    </w:p>
    <w:p w14:paraId="62B0E503" w14:textId="77777777" w:rsidR="00C54D29" w:rsidRDefault="005C3788">
      <w:r>
        <w:lastRenderedPageBreak/>
        <w:br/>
      </w:r>
    </w:p>
    <w:p w14:paraId="374E9C80" w14:textId="77777777" w:rsidR="00C54D29" w:rsidRDefault="005C3788">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C54D29" w14:paraId="4081D65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DD6B05E" w14:textId="77777777" w:rsidR="00C54D29" w:rsidRDefault="005C378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038E623" w14:textId="77777777" w:rsidR="00C54D29" w:rsidRDefault="005C378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1E173F9" w14:textId="77777777" w:rsidR="00C54D29" w:rsidRDefault="005C378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12B1E8D" w14:textId="77777777" w:rsidR="00C54D29" w:rsidRDefault="005C378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E3FF43F" w14:textId="77777777" w:rsidR="00C54D29" w:rsidRDefault="005C378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689D374" w14:textId="77777777" w:rsidR="00C54D29" w:rsidRDefault="005C3788">
            <w:pPr>
              <w:keepNext/>
              <w:keepLines/>
              <w:spacing w:after="0" w:line="240" w:lineRule="auto"/>
              <w:jc w:val="center"/>
            </w:pPr>
            <w:r>
              <w:rPr>
                <w:b/>
                <w:sz w:val="18"/>
              </w:rPr>
              <w:t>Indeks (%)</w:t>
            </w:r>
          </w:p>
        </w:tc>
      </w:tr>
      <w:tr w:rsidR="00C54D29" w14:paraId="5CCA18FD" w14:textId="77777777">
        <w:tblPrEx>
          <w:tblCellMar>
            <w:top w:w="0" w:type="dxa"/>
            <w:bottom w:w="0" w:type="dxa"/>
          </w:tblCellMar>
        </w:tblPrEx>
        <w:trPr>
          <w:cantSplit/>
          <w:trHeight w:val="560"/>
        </w:trPr>
        <w:tc>
          <w:tcPr>
            <w:tcW w:w="700" w:type="dxa"/>
            <w:tcMar>
              <w:top w:w="0" w:type="dxa"/>
              <w:bottom w:w="0" w:type="dxa"/>
            </w:tcMar>
            <w:vAlign w:val="center"/>
          </w:tcPr>
          <w:p w14:paraId="5007BEB6" w14:textId="77777777" w:rsidR="00C54D29" w:rsidRDefault="005C3788">
            <w:pPr>
              <w:keepNext/>
              <w:keepLines/>
              <w:spacing w:after="0" w:line="240" w:lineRule="auto"/>
            </w:pPr>
            <w:r>
              <w:rPr>
                <w:sz w:val="18"/>
              </w:rPr>
              <w:t>6</w:t>
            </w:r>
          </w:p>
        </w:tc>
        <w:tc>
          <w:tcPr>
            <w:tcW w:w="3180" w:type="dxa"/>
            <w:tcMar>
              <w:top w:w="0" w:type="dxa"/>
              <w:bottom w:w="0" w:type="dxa"/>
            </w:tcMar>
            <w:vAlign w:val="center"/>
          </w:tcPr>
          <w:p w14:paraId="542C2B6D" w14:textId="77777777" w:rsidR="00C54D29" w:rsidRDefault="005C3788">
            <w:pPr>
              <w:keepNext/>
              <w:keepLines/>
              <w:spacing w:after="0" w:line="240" w:lineRule="auto"/>
            </w:pPr>
            <w:r>
              <w:rPr>
                <w:sz w:val="18"/>
              </w:rPr>
              <w:t>PRIHODI POSLOVANJA (šifre 61+62+63+64+65+66+67+68)</w:t>
            </w:r>
          </w:p>
        </w:tc>
        <w:tc>
          <w:tcPr>
            <w:tcW w:w="700" w:type="dxa"/>
            <w:tcMar>
              <w:top w:w="0" w:type="dxa"/>
              <w:bottom w:w="0" w:type="dxa"/>
            </w:tcMar>
            <w:vAlign w:val="center"/>
          </w:tcPr>
          <w:p w14:paraId="3D8AD03C" w14:textId="77777777" w:rsidR="00C54D29" w:rsidRDefault="005C3788">
            <w:pPr>
              <w:keepNext/>
              <w:keepLines/>
              <w:spacing w:after="0" w:line="240" w:lineRule="auto"/>
            </w:pPr>
            <w:r>
              <w:rPr>
                <w:sz w:val="18"/>
              </w:rPr>
              <w:t>6</w:t>
            </w:r>
          </w:p>
        </w:tc>
        <w:tc>
          <w:tcPr>
            <w:tcW w:w="1860" w:type="dxa"/>
            <w:tcMar>
              <w:top w:w="0" w:type="dxa"/>
              <w:bottom w:w="0" w:type="dxa"/>
            </w:tcMar>
            <w:vAlign w:val="center"/>
          </w:tcPr>
          <w:p w14:paraId="11636D42" w14:textId="77777777" w:rsidR="00C54D29" w:rsidRDefault="005C3788">
            <w:pPr>
              <w:keepNext/>
              <w:keepLines/>
              <w:spacing w:after="0" w:line="240" w:lineRule="auto"/>
              <w:jc w:val="right"/>
            </w:pPr>
            <w:r>
              <w:rPr>
                <w:sz w:val="18"/>
              </w:rPr>
              <w:t>1.114.798,36</w:t>
            </w:r>
          </w:p>
        </w:tc>
        <w:tc>
          <w:tcPr>
            <w:tcW w:w="1860" w:type="dxa"/>
            <w:tcMar>
              <w:top w:w="0" w:type="dxa"/>
              <w:bottom w:w="0" w:type="dxa"/>
            </w:tcMar>
            <w:vAlign w:val="center"/>
          </w:tcPr>
          <w:p w14:paraId="2E634030" w14:textId="77777777" w:rsidR="00C54D29" w:rsidRDefault="005C3788">
            <w:pPr>
              <w:keepNext/>
              <w:keepLines/>
              <w:spacing w:after="0" w:line="240" w:lineRule="auto"/>
              <w:jc w:val="right"/>
            </w:pPr>
            <w:r>
              <w:rPr>
                <w:sz w:val="18"/>
              </w:rPr>
              <w:t>1.461.489,96</w:t>
            </w:r>
          </w:p>
        </w:tc>
        <w:tc>
          <w:tcPr>
            <w:tcW w:w="700" w:type="dxa"/>
            <w:tcMar>
              <w:top w:w="0" w:type="dxa"/>
              <w:bottom w:w="0" w:type="dxa"/>
            </w:tcMar>
            <w:vAlign w:val="center"/>
          </w:tcPr>
          <w:p w14:paraId="30A248A8" w14:textId="77777777" w:rsidR="00C54D29" w:rsidRDefault="005C3788">
            <w:pPr>
              <w:keepNext/>
              <w:keepLines/>
              <w:spacing w:after="0" w:line="240" w:lineRule="auto"/>
              <w:jc w:val="right"/>
            </w:pPr>
            <w:r>
              <w:rPr>
                <w:sz w:val="18"/>
              </w:rPr>
              <w:t>131,1</w:t>
            </w:r>
          </w:p>
        </w:tc>
      </w:tr>
    </w:tbl>
    <w:p w14:paraId="502D9872" w14:textId="77777777" w:rsidR="00C54D29" w:rsidRDefault="00C54D29">
      <w:pPr>
        <w:spacing w:after="0"/>
      </w:pPr>
    </w:p>
    <w:p w14:paraId="003E34E5" w14:textId="77777777" w:rsidR="00C54D29" w:rsidRDefault="005C3788">
      <w:pPr>
        <w:spacing w:line="240" w:lineRule="auto"/>
        <w:jc w:val="both"/>
      </w:pPr>
      <w:r>
        <w:t>Prihodi poslovanja porasli su za 31,1% u odnosu na isto razdoblje prethodne godine. Povećanje je rezultat usklađenja s planiranim rastom troškova, prije svega zbog povećanje osnovice plaća te povećanje troškova zakupa poslovnog prostora.</w:t>
      </w:r>
    </w:p>
    <w:p w14:paraId="6D7FE2BF" w14:textId="77777777" w:rsidR="00C54D29" w:rsidRDefault="00C54D29"/>
    <w:p w14:paraId="5E2AA402" w14:textId="77777777" w:rsidR="00C54D29" w:rsidRDefault="005C3788">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C54D29" w14:paraId="163953E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4E2DB3C" w14:textId="77777777" w:rsidR="00C54D29" w:rsidRDefault="005C378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E0165F7" w14:textId="77777777" w:rsidR="00C54D29" w:rsidRDefault="005C378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6B16E0E" w14:textId="77777777" w:rsidR="00C54D29" w:rsidRDefault="005C378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FD7C0D6" w14:textId="77777777" w:rsidR="00C54D29" w:rsidRDefault="005C378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30DC2F5" w14:textId="77777777" w:rsidR="00C54D29" w:rsidRDefault="005C378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1FD1C73" w14:textId="77777777" w:rsidR="00C54D29" w:rsidRDefault="005C3788">
            <w:pPr>
              <w:keepNext/>
              <w:keepLines/>
              <w:spacing w:after="0" w:line="240" w:lineRule="auto"/>
              <w:jc w:val="center"/>
            </w:pPr>
            <w:r>
              <w:rPr>
                <w:b/>
                <w:sz w:val="18"/>
              </w:rPr>
              <w:t>Indeks (%)</w:t>
            </w:r>
          </w:p>
        </w:tc>
      </w:tr>
      <w:tr w:rsidR="00C54D29" w14:paraId="7AEAC2A0" w14:textId="77777777">
        <w:tblPrEx>
          <w:tblCellMar>
            <w:top w:w="0" w:type="dxa"/>
            <w:bottom w:w="0" w:type="dxa"/>
          </w:tblCellMar>
        </w:tblPrEx>
        <w:trPr>
          <w:cantSplit/>
          <w:trHeight w:val="560"/>
        </w:trPr>
        <w:tc>
          <w:tcPr>
            <w:tcW w:w="700" w:type="dxa"/>
            <w:tcMar>
              <w:top w:w="0" w:type="dxa"/>
              <w:bottom w:w="0" w:type="dxa"/>
            </w:tcMar>
            <w:vAlign w:val="center"/>
          </w:tcPr>
          <w:p w14:paraId="30547C97" w14:textId="77777777" w:rsidR="00C54D29" w:rsidRDefault="005C3788">
            <w:pPr>
              <w:keepNext/>
              <w:keepLines/>
              <w:spacing w:after="0" w:line="240" w:lineRule="auto"/>
            </w:pPr>
            <w:r>
              <w:rPr>
                <w:sz w:val="18"/>
              </w:rPr>
              <w:t>31</w:t>
            </w:r>
          </w:p>
        </w:tc>
        <w:tc>
          <w:tcPr>
            <w:tcW w:w="3180" w:type="dxa"/>
            <w:tcMar>
              <w:top w:w="0" w:type="dxa"/>
              <w:bottom w:w="0" w:type="dxa"/>
            </w:tcMar>
            <w:vAlign w:val="center"/>
          </w:tcPr>
          <w:p w14:paraId="343C851F" w14:textId="77777777" w:rsidR="00C54D29" w:rsidRDefault="005C3788">
            <w:pPr>
              <w:keepNext/>
              <w:keepLines/>
              <w:spacing w:after="0" w:line="240" w:lineRule="auto"/>
            </w:pPr>
            <w:r>
              <w:rPr>
                <w:sz w:val="18"/>
              </w:rPr>
              <w:t>Rashodi za zaposlene (šifre 311+312+313)</w:t>
            </w:r>
          </w:p>
        </w:tc>
        <w:tc>
          <w:tcPr>
            <w:tcW w:w="700" w:type="dxa"/>
            <w:tcMar>
              <w:top w:w="0" w:type="dxa"/>
              <w:bottom w:w="0" w:type="dxa"/>
            </w:tcMar>
            <w:vAlign w:val="center"/>
          </w:tcPr>
          <w:p w14:paraId="10CBCF0E" w14:textId="77777777" w:rsidR="00C54D29" w:rsidRDefault="005C3788">
            <w:pPr>
              <w:keepNext/>
              <w:keepLines/>
              <w:spacing w:after="0" w:line="240" w:lineRule="auto"/>
            </w:pPr>
            <w:r>
              <w:rPr>
                <w:sz w:val="18"/>
              </w:rPr>
              <w:t>31</w:t>
            </w:r>
          </w:p>
        </w:tc>
        <w:tc>
          <w:tcPr>
            <w:tcW w:w="1860" w:type="dxa"/>
            <w:tcMar>
              <w:top w:w="0" w:type="dxa"/>
              <w:bottom w:w="0" w:type="dxa"/>
            </w:tcMar>
            <w:vAlign w:val="center"/>
          </w:tcPr>
          <w:p w14:paraId="75D308ED" w14:textId="77777777" w:rsidR="00C54D29" w:rsidRDefault="005C3788">
            <w:pPr>
              <w:keepNext/>
              <w:keepLines/>
              <w:spacing w:after="0" w:line="240" w:lineRule="auto"/>
              <w:jc w:val="right"/>
            </w:pPr>
            <w:r>
              <w:rPr>
                <w:sz w:val="18"/>
              </w:rPr>
              <w:t>479.170,00</w:t>
            </w:r>
          </w:p>
        </w:tc>
        <w:tc>
          <w:tcPr>
            <w:tcW w:w="1860" w:type="dxa"/>
            <w:tcMar>
              <w:top w:w="0" w:type="dxa"/>
              <w:bottom w:w="0" w:type="dxa"/>
            </w:tcMar>
            <w:vAlign w:val="center"/>
          </w:tcPr>
          <w:p w14:paraId="3C0A58D2" w14:textId="77777777" w:rsidR="00C54D29" w:rsidRDefault="005C3788">
            <w:pPr>
              <w:keepNext/>
              <w:keepLines/>
              <w:spacing w:after="0" w:line="240" w:lineRule="auto"/>
              <w:jc w:val="right"/>
            </w:pPr>
            <w:r>
              <w:rPr>
                <w:sz w:val="18"/>
              </w:rPr>
              <w:t>526.310,87</w:t>
            </w:r>
          </w:p>
        </w:tc>
        <w:tc>
          <w:tcPr>
            <w:tcW w:w="700" w:type="dxa"/>
            <w:tcMar>
              <w:top w:w="0" w:type="dxa"/>
              <w:bottom w:w="0" w:type="dxa"/>
            </w:tcMar>
            <w:vAlign w:val="center"/>
          </w:tcPr>
          <w:p w14:paraId="73FE3957" w14:textId="77777777" w:rsidR="00C54D29" w:rsidRDefault="005C3788">
            <w:pPr>
              <w:keepNext/>
              <w:keepLines/>
              <w:spacing w:after="0" w:line="240" w:lineRule="auto"/>
              <w:jc w:val="right"/>
            </w:pPr>
            <w:r>
              <w:rPr>
                <w:sz w:val="18"/>
              </w:rPr>
              <w:t>109,8</w:t>
            </w:r>
          </w:p>
        </w:tc>
      </w:tr>
    </w:tbl>
    <w:p w14:paraId="1B39766E" w14:textId="77777777" w:rsidR="00C54D29" w:rsidRDefault="00C54D29">
      <w:pPr>
        <w:spacing w:after="0"/>
      </w:pPr>
    </w:p>
    <w:p w14:paraId="068108A5" w14:textId="77777777" w:rsidR="00C54D29" w:rsidRDefault="005C3788">
      <w:pPr>
        <w:spacing w:line="240" w:lineRule="auto"/>
        <w:jc w:val="both"/>
      </w:pPr>
      <w:r>
        <w:t>Rashodi za zaposlene su u odnosu na isto razdoblje prethodne godine veći za 9,8%. Razlog ovom povećanju je uključivanje jedne plaće više zbog promjene u  načinu knjiženja (ukidanje konta 193- Unaprijed plaćeni rashodi), kao i povećanje osnovice za plaće, što je dodatno utjecalo na rast ukupnih rashoda.</w:t>
      </w:r>
    </w:p>
    <w:p w14:paraId="1F355BA3" w14:textId="77777777" w:rsidR="00C54D29" w:rsidRDefault="00C54D29"/>
    <w:p w14:paraId="5D0950CF" w14:textId="77777777" w:rsidR="00C54D29" w:rsidRDefault="005C3788">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C54D29" w14:paraId="1BF945F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96DF1CF" w14:textId="77777777" w:rsidR="00C54D29" w:rsidRDefault="005C378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9E27F86" w14:textId="77777777" w:rsidR="00C54D29" w:rsidRDefault="005C378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142EBAF" w14:textId="77777777" w:rsidR="00C54D29" w:rsidRDefault="005C378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F584E4D" w14:textId="77777777" w:rsidR="00C54D29" w:rsidRDefault="005C378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9C09C84" w14:textId="77777777" w:rsidR="00C54D29" w:rsidRDefault="005C378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D4144CE" w14:textId="77777777" w:rsidR="00C54D29" w:rsidRDefault="005C3788">
            <w:pPr>
              <w:keepNext/>
              <w:keepLines/>
              <w:spacing w:after="0" w:line="240" w:lineRule="auto"/>
              <w:jc w:val="center"/>
            </w:pPr>
            <w:r>
              <w:rPr>
                <w:b/>
                <w:sz w:val="18"/>
              </w:rPr>
              <w:t>Indeks (%)</w:t>
            </w:r>
          </w:p>
        </w:tc>
      </w:tr>
      <w:tr w:rsidR="00C54D29" w14:paraId="12C7415C" w14:textId="77777777">
        <w:tblPrEx>
          <w:tblCellMar>
            <w:top w:w="0" w:type="dxa"/>
            <w:bottom w:w="0" w:type="dxa"/>
          </w:tblCellMar>
        </w:tblPrEx>
        <w:trPr>
          <w:cantSplit/>
          <w:trHeight w:val="560"/>
        </w:trPr>
        <w:tc>
          <w:tcPr>
            <w:tcW w:w="700" w:type="dxa"/>
            <w:tcMar>
              <w:top w:w="0" w:type="dxa"/>
              <w:bottom w:w="0" w:type="dxa"/>
            </w:tcMar>
            <w:vAlign w:val="center"/>
          </w:tcPr>
          <w:p w14:paraId="44FCDD62" w14:textId="77777777" w:rsidR="00C54D29" w:rsidRDefault="005C3788">
            <w:pPr>
              <w:keepNext/>
              <w:keepLines/>
              <w:spacing w:after="0" w:line="240" w:lineRule="auto"/>
            </w:pPr>
            <w:r>
              <w:rPr>
                <w:sz w:val="18"/>
              </w:rPr>
              <w:t>3221</w:t>
            </w:r>
          </w:p>
        </w:tc>
        <w:tc>
          <w:tcPr>
            <w:tcW w:w="3180" w:type="dxa"/>
            <w:tcMar>
              <w:top w:w="0" w:type="dxa"/>
              <w:bottom w:w="0" w:type="dxa"/>
            </w:tcMar>
            <w:vAlign w:val="center"/>
          </w:tcPr>
          <w:p w14:paraId="33C5C03C" w14:textId="77777777" w:rsidR="00C54D29" w:rsidRDefault="005C3788">
            <w:pPr>
              <w:keepNext/>
              <w:keepLines/>
              <w:spacing w:after="0" w:line="240" w:lineRule="auto"/>
            </w:pPr>
            <w:r>
              <w:rPr>
                <w:sz w:val="18"/>
              </w:rPr>
              <w:t>Uredski materijal i ostali materijalni rashodi</w:t>
            </w:r>
          </w:p>
        </w:tc>
        <w:tc>
          <w:tcPr>
            <w:tcW w:w="700" w:type="dxa"/>
            <w:tcMar>
              <w:top w:w="0" w:type="dxa"/>
              <w:bottom w:w="0" w:type="dxa"/>
            </w:tcMar>
            <w:vAlign w:val="center"/>
          </w:tcPr>
          <w:p w14:paraId="446C8A26" w14:textId="77777777" w:rsidR="00C54D29" w:rsidRDefault="005C3788">
            <w:pPr>
              <w:keepNext/>
              <w:keepLines/>
              <w:spacing w:after="0" w:line="240" w:lineRule="auto"/>
            </w:pPr>
            <w:r>
              <w:rPr>
                <w:sz w:val="18"/>
              </w:rPr>
              <w:t>3221</w:t>
            </w:r>
          </w:p>
        </w:tc>
        <w:tc>
          <w:tcPr>
            <w:tcW w:w="1860" w:type="dxa"/>
            <w:tcMar>
              <w:top w:w="0" w:type="dxa"/>
              <w:bottom w:w="0" w:type="dxa"/>
            </w:tcMar>
            <w:vAlign w:val="center"/>
          </w:tcPr>
          <w:p w14:paraId="12FCB12B" w14:textId="77777777" w:rsidR="00C54D29" w:rsidRDefault="005C3788">
            <w:pPr>
              <w:keepNext/>
              <w:keepLines/>
              <w:spacing w:after="0" w:line="240" w:lineRule="auto"/>
              <w:jc w:val="right"/>
            </w:pPr>
            <w:r>
              <w:rPr>
                <w:sz w:val="18"/>
              </w:rPr>
              <w:t>3.418,16</w:t>
            </w:r>
          </w:p>
        </w:tc>
        <w:tc>
          <w:tcPr>
            <w:tcW w:w="1860" w:type="dxa"/>
            <w:tcMar>
              <w:top w:w="0" w:type="dxa"/>
              <w:bottom w:w="0" w:type="dxa"/>
            </w:tcMar>
            <w:vAlign w:val="center"/>
          </w:tcPr>
          <w:p w14:paraId="03257E8A" w14:textId="77777777" w:rsidR="00C54D29" w:rsidRDefault="005C3788">
            <w:pPr>
              <w:keepNext/>
              <w:keepLines/>
              <w:spacing w:after="0" w:line="240" w:lineRule="auto"/>
              <w:jc w:val="right"/>
            </w:pPr>
            <w:r>
              <w:rPr>
                <w:sz w:val="18"/>
              </w:rPr>
              <w:t>5.684,29</w:t>
            </w:r>
          </w:p>
        </w:tc>
        <w:tc>
          <w:tcPr>
            <w:tcW w:w="700" w:type="dxa"/>
            <w:tcMar>
              <w:top w:w="0" w:type="dxa"/>
              <w:bottom w:w="0" w:type="dxa"/>
            </w:tcMar>
            <w:vAlign w:val="center"/>
          </w:tcPr>
          <w:p w14:paraId="50742549" w14:textId="77777777" w:rsidR="00C54D29" w:rsidRDefault="005C3788">
            <w:pPr>
              <w:keepNext/>
              <w:keepLines/>
              <w:spacing w:after="0" w:line="240" w:lineRule="auto"/>
              <w:jc w:val="right"/>
            </w:pPr>
            <w:r>
              <w:rPr>
                <w:sz w:val="18"/>
              </w:rPr>
              <w:t>166,3</w:t>
            </w:r>
          </w:p>
        </w:tc>
      </w:tr>
    </w:tbl>
    <w:p w14:paraId="012316C1" w14:textId="77777777" w:rsidR="00C54D29" w:rsidRDefault="00C54D29">
      <w:pPr>
        <w:spacing w:after="0"/>
      </w:pPr>
    </w:p>
    <w:p w14:paraId="3A2CA3A9" w14:textId="77777777" w:rsidR="00C54D29" w:rsidRDefault="005C3788">
      <w:pPr>
        <w:spacing w:line="240" w:lineRule="auto"/>
        <w:jc w:val="both"/>
      </w:pPr>
      <w:r>
        <w:t>Rashodi za uredski i ostali materijala povećani su za 66,3% u odnosu na prethodno polugodišnje razdoblje. Povećanje je rezultat veće potrebe za uredskim priborom, priborom za čišćenje te posebno na veću nabavu raznog potrošnog materijala za Radni centar, gdje korisnici svakodnevno koriste materijale različite aktivnosti i radionice.</w:t>
      </w:r>
    </w:p>
    <w:p w14:paraId="5D8F510D" w14:textId="77777777" w:rsidR="00C54D29" w:rsidRDefault="00C54D29"/>
    <w:p w14:paraId="5E25500A" w14:textId="77777777" w:rsidR="00C54D29" w:rsidRDefault="005C3788">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C54D29" w14:paraId="5E1FFB2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87C742F" w14:textId="77777777" w:rsidR="00C54D29" w:rsidRDefault="005C378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9822623" w14:textId="77777777" w:rsidR="00C54D29" w:rsidRDefault="005C378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0FDD83E" w14:textId="77777777" w:rsidR="00C54D29" w:rsidRDefault="005C378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55D9FF6" w14:textId="77777777" w:rsidR="00C54D29" w:rsidRDefault="005C378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3CE673F" w14:textId="77777777" w:rsidR="00C54D29" w:rsidRDefault="005C378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05BD5A6" w14:textId="77777777" w:rsidR="00C54D29" w:rsidRDefault="005C3788">
            <w:pPr>
              <w:keepNext/>
              <w:keepLines/>
              <w:spacing w:after="0" w:line="240" w:lineRule="auto"/>
              <w:jc w:val="center"/>
            </w:pPr>
            <w:r>
              <w:rPr>
                <w:b/>
                <w:sz w:val="18"/>
              </w:rPr>
              <w:t>Indeks (%)</w:t>
            </w:r>
          </w:p>
        </w:tc>
      </w:tr>
      <w:tr w:rsidR="00C54D29" w14:paraId="174BE285" w14:textId="77777777">
        <w:tblPrEx>
          <w:tblCellMar>
            <w:top w:w="0" w:type="dxa"/>
            <w:bottom w:w="0" w:type="dxa"/>
          </w:tblCellMar>
        </w:tblPrEx>
        <w:trPr>
          <w:cantSplit/>
          <w:trHeight w:val="560"/>
        </w:trPr>
        <w:tc>
          <w:tcPr>
            <w:tcW w:w="700" w:type="dxa"/>
            <w:tcMar>
              <w:top w:w="0" w:type="dxa"/>
              <w:bottom w:w="0" w:type="dxa"/>
            </w:tcMar>
            <w:vAlign w:val="center"/>
          </w:tcPr>
          <w:p w14:paraId="0BF2C357" w14:textId="77777777" w:rsidR="00C54D29" w:rsidRDefault="005C3788">
            <w:pPr>
              <w:keepNext/>
              <w:keepLines/>
              <w:spacing w:after="0" w:line="240" w:lineRule="auto"/>
            </w:pPr>
            <w:r>
              <w:rPr>
                <w:sz w:val="18"/>
              </w:rPr>
              <w:t>3232</w:t>
            </w:r>
          </w:p>
        </w:tc>
        <w:tc>
          <w:tcPr>
            <w:tcW w:w="3180" w:type="dxa"/>
            <w:tcMar>
              <w:top w:w="0" w:type="dxa"/>
              <w:bottom w:w="0" w:type="dxa"/>
            </w:tcMar>
            <w:vAlign w:val="center"/>
          </w:tcPr>
          <w:p w14:paraId="7B3C9CFF" w14:textId="77777777" w:rsidR="00C54D29" w:rsidRDefault="005C3788">
            <w:pPr>
              <w:keepNext/>
              <w:keepLines/>
              <w:spacing w:after="0" w:line="240" w:lineRule="auto"/>
            </w:pPr>
            <w:r>
              <w:rPr>
                <w:sz w:val="18"/>
              </w:rPr>
              <w:t>Usluge tekućeg i investicijskog održavanja</w:t>
            </w:r>
          </w:p>
        </w:tc>
        <w:tc>
          <w:tcPr>
            <w:tcW w:w="700" w:type="dxa"/>
            <w:tcMar>
              <w:top w:w="0" w:type="dxa"/>
              <w:bottom w:w="0" w:type="dxa"/>
            </w:tcMar>
            <w:vAlign w:val="center"/>
          </w:tcPr>
          <w:p w14:paraId="5F5FCBE9" w14:textId="77777777" w:rsidR="00C54D29" w:rsidRDefault="005C3788">
            <w:pPr>
              <w:keepNext/>
              <w:keepLines/>
              <w:spacing w:after="0" w:line="240" w:lineRule="auto"/>
            </w:pPr>
            <w:r>
              <w:rPr>
                <w:sz w:val="18"/>
              </w:rPr>
              <w:t>3232</w:t>
            </w:r>
          </w:p>
        </w:tc>
        <w:tc>
          <w:tcPr>
            <w:tcW w:w="1860" w:type="dxa"/>
            <w:tcMar>
              <w:top w:w="0" w:type="dxa"/>
              <w:bottom w:w="0" w:type="dxa"/>
            </w:tcMar>
            <w:vAlign w:val="center"/>
          </w:tcPr>
          <w:p w14:paraId="791E8B6C" w14:textId="77777777" w:rsidR="00C54D29" w:rsidRDefault="005C3788">
            <w:pPr>
              <w:keepNext/>
              <w:keepLines/>
              <w:spacing w:after="0" w:line="240" w:lineRule="auto"/>
              <w:jc w:val="right"/>
            </w:pPr>
            <w:r>
              <w:rPr>
                <w:sz w:val="18"/>
              </w:rPr>
              <w:t>980,41</w:t>
            </w:r>
          </w:p>
        </w:tc>
        <w:tc>
          <w:tcPr>
            <w:tcW w:w="1860" w:type="dxa"/>
            <w:tcMar>
              <w:top w:w="0" w:type="dxa"/>
              <w:bottom w:w="0" w:type="dxa"/>
            </w:tcMar>
            <w:vAlign w:val="center"/>
          </w:tcPr>
          <w:p w14:paraId="23D7B003" w14:textId="77777777" w:rsidR="00C54D29" w:rsidRDefault="005C3788">
            <w:pPr>
              <w:keepNext/>
              <w:keepLines/>
              <w:spacing w:after="0" w:line="240" w:lineRule="auto"/>
              <w:jc w:val="right"/>
            </w:pPr>
            <w:r>
              <w:rPr>
                <w:sz w:val="18"/>
              </w:rPr>
              <w:t>1.851,64</w:t>
            </w:r>
          </w:p>
        </w:tc>
        <w:tc>
          <w:tcPr>
            <w:tcW w:w="700" w:type="dxa"/>
            <w:tcMar>
              <w:top w:w="0" w:type="dxa"/>
              <w:bottom w:w="0" w:type="dxa"/>
            </w:tcMar>
            <w:vAlign w:val="center"/>
          </w:tcPr>
          <w:p w14:paraId="24882DA5" w14:textId="77777777" w:rsidR="00C54D29" w:rsidRDefault="005C3788">
            <w:pPr>
              <w:keepNext/>
              <w:keepLines/>
              <w:spacing w:after="0" w:line="240" w:lineRule="auto"/>
              <w:jc w:val="right"/>
            </w:pPr>
            <w:r>
              <w:rPr>
                <w:sz w:val="18"/>
              </w:rPr>
              <w:t>188,9</w:t>
            </w:r>
          </w:p>
        </w:tc>
      </w:tr>
    </w:tbl>
    <w:p w14:paraId="553DB80B" w14:textId="77777777" w:rsidR="00C54D29" w:rsidRDefault="00C54D29">
      <w:pPr>
        <w:spacing w:after="0"/>
      </w:pPr>
    </w:p>
    <w:p w14:paraId="3BCA72E3" w14:textId="77777777" w:rsidR="00C54D29" w:rsidRDefault="005C3788">
      <w:pPr>
        <w:spacing w:line="240" w:lineRule="auto"/>
        <w:jc w:val="both"/>
      </w:pPr>
      <w:r>
        <w:lastRenderedPageBreak/>
        <w:t>Rashodi za usluge tekućeg i investicijskog održavanja povećani su za 88,9%  u odnosu na prethodno polugodišnje razdoblje. Povećanje je rezultat realizacije niza manjih popravaka u zgradi Centra, koji su bili planirani još prošle godine ali su provedeni u tekućem razdoblju.</w:t>
      </w:r>
    </w:p>
    <w:p w14:paraId="60A62FBA" w14:textId="77777777" w:rsidR="00C54D29" w:rsidRDefault="00C54D29"/>
    <w:p w14:paraId="6281D46D" w14:textId="77777777" w:rsidR="00C54D29" w:rsidRDefault="005C3788">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C54D29" w14:paraId="3E44739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9BF3BFB" w14:textId="77777777" w:rsidR="00C54D29" w:rsidRDefault="005C378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86CD29E" w14:textId="77777777" w:rsidR="00C54D29" w:rsidRDefault="005C378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1D8C758" w14:textId="77777777" w:rsidR="00C54D29" w:rsidRDefault="005C378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46473E8" w14:textId="77777777" w:rsidR="00C54D29" w:rsidRDefault="005C378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CBF455A" w14:textId="77777777" w:rsidR="00C54D29" w:rsidRDefault="005C378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0D45EC5" w14:textId="77777777" w:rsidR="00C54D29" w:rsidRDefault="005C3788">
            <w:pPr>
              <w:keepNext/>
              <w:keepLines/>
              <w:spacing w:after="0" w:line="240" w:lineRule="auto"/>
              <w:jc w:val="center"/>
            </w:pPr>
            <w:r>
              <w:rPr>
                <w:b/>
                <w:sz w:val="18"/>
              </w:rPr>
              <w:t>Indeks (%)</w:t>
            </w:r>
          </w:p>
        </w:tc>
      </w:tr>
      <w:tr w:rsidR="00C54D29" w14:paraId="2E27733D" w14:textId="77777777">
        <w:tblPrEx>
          <w:tblCellMar>
            <w:top w:w="0" w:type="dxa"/>
            <w:bottom w:w="0" w:type="dxa"/>
          </w:tblCellMar>
        </w:tblPrEx>
        <w:trPr>
          <w:cantSplit/>
          <w:trHeight w:val="560"/>
        </w:trPr>
        <w:tc>
          <w:tcPr>
            <w:tcW w:w="700" w:type="dxa"/>
            <w:tcMar>
              <w:top w:w="0" w:type="dxa"/>
              <w:bottom w:w="0" w:type="dxa"/>
            </w:tcMar>
            <w:vAlign w:val="center"/>
          </w:tcPr>
          <w:p w14:paraId="6312973B" w14:textId="77777777" w:rsidR="00C54D29" w:rsidRDefault="005C3788">
            <w:pPr>
              <w:keepNext/>
              <w:keepLines/>
              <w:spacing w:after="0" w:line="240" w:lineRule="auto"/>
            </w:pPr>
            <w:r>
              <w:rPr>
                <w:sz w:val="18"/>
              </w:rPr>
              <w:t>3237</w:t>
            </w:r>
          </w:p>
        </w:tc>
        <w:tc>
          <w:tcPr>
            <w:tcW w:w="3180" w:type="dxa"/>
            <w:tcMar>
              <w:top w:w="0" w:type="dxa"/>
              <w:bottom w:w="0" w:type="dxa"/>
            </w:tcMar>
            <w:vAlign w:val="center"/>
          </w:tcPr>
          <w:p w14:paraId="5B40A18D" w14:textId="77777777" w:rsidR="00C54D29" w:rsidRDefault="005C3788">
            <w:pPr>
              <w:keepNext/>
              <w:keepLines/>
              <w:spacing w:after="0" w:line="240" w:lineRule="auto"/>
            </w:pPr>
            <w:r>
              <w:rPr>
                <w:sz w:val="18"/>
              </w:rPr>
              <w:t>Intelektualne i osobne usluge</w:t>
            </w:r>
          </w:p>
        </w:tc>
        <w:tc>
          <w:tcPr>
            <w:tcW w:w="700" w:type="dxa"/>
            <w:tcMar>
              <w:top w:w="0" w:type="dxa"/>
              <w:bottom w:w="0" w:type="dxa"/>
            </w:tcMar>
            <w:vAlign w:val="center"/>
          </w:tcPr>
          <w:p w14:paraId="5982865F" w14:textId="77777777" w:rsidR="00C54D29" w:rsidRDefault="005C3788">
            <w:pPr>
              <w:keepNext/>
              <w:keepLines/>
              <w:spacing w:after="0" w:line="240" w:lineRule="auto"/>
            </w:pPr>
            <w:r>
              <w:rPr>
                <w:sz w:val="18"/>
              </w:rPr>
              <w:t>3237</w:t>
            </w:r>
          </w:p>
        </w:tc>
        <w:tc>
          <w:tcPr>
            <w:tcW w:w="1860" w:type="dxa"/>
            <w:tcMar>
              <w:top w:w="0" w:type="dxa"/>
              <w:bottom w:w="0" w:type="dxa"/>
            </w:tcMar>
            <w:vAlign w:val="center"/>
          </w:tcPr>
          <w:p w14:paraId="7F69D6C8" w14:textId="77777777" w:rsidR="00C54D29" w:rsidRDefault="005C3788">
            <w:pPr>
              <w:keepNext/>
              <w:keepLines/>
              <w:spacing w:after="0" w:line="240" w:lineRule="auto"/>
              <w:jc w:val="right"/>
            </w:pPr>
            <w:r>
              <w:rPr>
                <w:sz w:val="18"/>
              </w:rPr>
              <w:t>1.587,05</w:t>
            </w:r>
          </w:p>
        </w:tc>
        <w:tc>
          <w:tcPr>
            <w:tcW w:w="1860" w:type="dxa"/>
            <w:tcMar>
              <w:top w:w="0" w:type="dxa"/>
              <w:bottom w:w="0" w:type="dxa"/>
            </w:tcMar>
            <w:vAlign w:val="center"/>
          </w:tcPr>
          <w:p w14:paraId="1A61A28E" w14:textId="77777777" w:rsidR="00C54D29" w:rsidRDefault="005C3788">
            <w:pPr>
              <w:keepNext/>
              <w:keepLines/>
              <w:spacing w:after="0" w:line="240" w:lineRule="auto"/>
              <w:jc w:val="right"/>
            </w:pPr>
            <w:r>
              <w:rPr>
                <w:sz w:val="18"/>
              </w:rPr>
              <w:t>6.917,51</w:t>
            </w:r>
          </w:p>
        </w:tc>
        <w:tc>
          <w:tcPr>
            <w:tcW w:w="700" w:type="dxa"/>
            <w:tcMar>
              <w:top w:w="0" w:type="dxa"/>
              <w:bottom w:w="0" w:type="dxa"/>
            </w:tcMar>
            <w:vAlign w:val="center"/>
          </w:tcPr>
          <w:p w14:paraId="2EA5EAA4" w14:textId="77777777" w:rsidR="00C54D29" w:rsidRDefault="005C3788">
            <w:pPr>
              <w:keepNext/>
              <w:keepLines/>
              <w:spacing w:after="0" w:line="240" w:lineRule="auto"/>
              <w:jc w:val="right"/>
            </w:pPr>
            <w:r>
              <w:rPr>
                <w:sz w:val="18"/>
              </w:rPr>
              <w:t>435,9</w:t>
            </w:r>
          </w:p>
        </w:tc>
      </w:tr>
    </w:tbl>
    <w:p w14:paraId="3A7CC6F3" w14:textId="77777777" w:rsidR="00C54D29" w:rsidRDefault="00C54D29">
      <w:pPr>
        <w:spacing w:after="0"/>
      </w:pPr>
    </w:p>
    <w:p w14:paraId="5FE91F4F" w14:textId="77777777" w:rsidR="00C54D29" w:rsidRDefault="005C3788">
      <w:pPr>
        <w:spacing w:line="240" w:lineRule="auto"/>
        <w:jc w:val="both"/>
      </w:pPr>
      <w:r>
        <w:t>U odnosu na prethodno razdoblje, rashodi za intelektualne usluge povećani su za 335,9%. Razlog je što se od kraja 2024. godine trošak mentora za usluge radnog osposobljavanja na konkretnom radnom mjestu knjiži kao ugovori o djelu na konto intelektualnih usluga, dok su prethodno bili evidentirani pod ostalim uslugama. Promjena proizlazi iz drugačijeg načina knjiženja.</w:t>
      </w:r>
    </w:p>
    <w:p w14:paraId="0D62FB09" w14:textId="77777777" w:rsidR="00C54D29" w:rsidRDefault="00C54D29"/>
    <w:p w14:paraId="294539E0" w14:textId="77777777" w:rsidR="00C54D29" w:rsidRDefault="005C3788">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C54D29" w14:paraId="3C0621F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FCA034A" w14:textId="77777777" w:rsidR="00C54D29" w:rsidRDefault="005C378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3ED2192" w14:textId="77777777" w:rsidR="00C54D29" w:rsidRDefault="005C378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B2DC944" w14:textId="77777777" w:rsidR="00C54D29" w:rsidRDefault="005C378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68EE668" w14:textId="77777777" w:rsidR="00C54D29" w:rsidRDefault="005C378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32A002A" w14:textId="77777777" w:rsidR="00C54D29" w:rsidRDefault="005C378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D554A0A" w14:textId="77777777" w:rsidR="00C54D29" w:rsidRDefault="005C3788">
            <w:pPr>
              <w:keepNext/>
              <w:keepLines/>
              <w:spacing w:after="0" w:line="240" w:lineRule="auto"/>
              <w:jc w:val="center"/>
            </w:pPr>
            <w:r>
              <w:rPr>
                <w:b/>
                <w:sz w:val="18"/>
              </w:rPr>
              <w:t>Indeks (%)</w:t>
            </w:r>
          </w:p>
        </w:tc>
      </w:tr>
      <w:tr w:rsidR="00C54D29" w14:paraId="1F7BBB7B" w14:textId="77777777">
        <w:tblPrEx>
          <w:tblCellMar>
            <w:top w:w="0" w:type="dxa"/>
            <w:bottom w:w="0" w:type="dxa"/>
          </w:tblCellMar>
        </w:tblPrEx>
        <w:trPr>
          <w:cantSplit/>
          <w:trHeight w:val="560"/>
        </w:trPr>
        <w:tc>
          <w:tcPr>
            <w:tcW w:w="700" w:type="dxa"/>
            <w:tcMar>
              <w:top w:w="0" w:type="dxa"/>
              <w:bottom w:w="0" w:type="dxa"/>
            </w:tcMar>
            <w:vAlign w:val="center"/>
          </w:tcPr>
          <w:p w14:paraId="52530E99" w14:textId="77777777" w:rsidR="00C54D29" w:rsidRDefault="005C3788">
            <w:pPr>
              <w:keepNext/>
              <w:keepLines/>
              <w:spacing w:after="0" w:line="240" w:lineRule="auto"/>
            </w:pPr>
            <w:r>
              <w:rPr>
                <w:sz w:val="18"/>
              </w:rPr>
              <w:t>42</w:t>
            </w:r>
          </w:p>
        </w:tc>
        <w:tc>
          <w:tcPr>
            <w:tcW w:w="3180" w:type="dxa"/>
            <w:tcMar>
              <w:top w:w="0" w:type="dxa"/>
              <w:bottom w:w="0" w:type="dxa"/>
            </w:tcMar>
            <w:vAlign w:val="center"/>
          </w:tcPr>
          <w:p w14:paraId="5763F10D" w14:textId="77777777" w:rsidR="00C54D29" w:rsidRDefault="005C3788">
            <w:pPr>
              <w:keepNext/>
              <w:keepLines/>
              <w:spacing w:after="0" w:line="240" w:lineRule="auto"/>
            </w:pPr>
            <w:r>
              <w:rPr>
                <w:sz w:val="18"/>
              </w:rPr>
              <w:t>Rashodi za nabavu proizvedene dugotrajne imovine (šifre 421+422+423+424+425+426)</w:t>
            </w:r>
          </w:p>
        </w:tc>
        <w:tc>
          <w:tcPr>
            <w:tcW w:w="700" w:type="dxa"/>
            <w:tcMar>
              <w:top w:w="0" w:type="dxa"/>
              <w:bottom w:w="0" w:type="dxa"/>
            </w:tcMar>
            <w:vAlign w:val="center"/>
          </w:tcPr>
          <w:p w14:paraId="30236806" w14:textId="77777777" w:rsidR="00C54D29" w:rsidRDefault="005C3788">
            <w:pPr>
              <w:keepNext/>
              <w:keepLines/>
              <w:spacing w:after="0" w:line="240" w:lineRule="auto"/>
            </w:pPr>
            <w:r>
              <w:rPr>
                <w:sz w:val="18"/>
              </w:rPr>
              <w:t>42</w:t>
            </w:r>
          </w:p>
        </w:tc>
        <w:tc>
          <w:tcPr>
            <w:tcW w:w="1860" w:type="dxa"/>
            <w:tcMar>
              <w:top w:w="0" w:type="dxa"/>
              <w:bottom w:w="0" w:type="dxa"/>
            </w:tcMar>
            <w:vAlign w:val="center"/>
          </w:tcPr>
          <w:p w14:paraId="595A8206" w14:textId="77777777" w:rsidR="00C54D29" w:rsidRDefault="005C3788">
            <w:pPr>
              <w:keepNext/>
              <w:keepLines/>
              <w:spacing w:after="0" w:line="240" w:lineRule="auto"/>
              <w:jc w:val="right"/>
            </w:pPr>
            <w:r>
              <w:rPr>
                <w:sz w:val="18"/>
              </w:rPr>
              <w:t>1.295,00</w:t>
            </w:r>
          </w:p>
        </w:tc>
        <w:tc>
          <w:tcPr>
            <w:tcW w:w="1860" w:type="dxa"/>
            <w:tcMar>
              <w:top w:w="0" w:type="dxa"/>
              <w:bottom w:w="0" w:type="dxa"/>
            </w:tcMar>
            <w:vAlign w:val="center"/>
          </w:tcPr>
          <w:p w14:paraId="003B03D7" w14:textId="77777777" w:rsidR="00C54D29" w:rsidRDefault="005C3788">
            <w:pPr>
              <w:keepNext/>
              <w:keepLines/>
              <w:spacing w:after="0" w:line="240" w:lineRule="auto"/>
              <w:jc w:val="right"/>
            </w:pPr>
            <w:r>
              <w:rPr>
                <w:sz w:val="18"/>
              </w:rPr>
              <w:t>0,00</w:t>
            </w:r>
          </w:p>
        </w:tc>
        <w:tc>
          <w:tcPr>
            <w:tcW w:w="700" w:type="dxa"/>
            <w:tcMar>
              <w:top w:w="0" w:type="dxa"/>
              <w:bottom w:w="0" w:type="dxa"/>
            </w:tcMar>
            <w:vAlign w:val="center"/>
          </w:tcPr>
          <w:p w14:paraId="730EF28B" w14:textId="77777777" w:rsidR="00C54D29" w:rsidRDefault="005C3788">
            <w:pPr>
              <w:keepNext/>
              <w:keepLines/>
              <w:spacing w:after="0" w:line="240" w:lineRule="auto"/>
              <w:jc w:val="right"/>
            </w:pPr>
            <w:r>
              <w:rPr>
                <w:sz w:val="18"/>
              </w:rPr>
              <w:t>0</w:t>
            </w:r>
          </w:p>
        </w:tc>
      </w:tr>
    </w:tbl>
    <w:p w14:paraId="68D41EA5" w14:textId="77777777" w:rsidR="00C54D29" w:rsidRDefault="00C54D29">
      <w:pPr>
        <w:spacing w:after="0"/>
      </w:pPr>
    </w:p>
    <w:p w14:paraId="2CA88C4A" w14:textId="77777777" w:rsidR="00C54D29" w:rsidRDefault="005C3788">
      <w:pPr>
        <w:spacing w:line="240" w:lineRule="auto"/>
        <w:jc w:val="both"/>
      </w:pPr>
      <w:r>
        <w:t>U prvom polugodištu nisu realiziranu rashodi za nabavu proizvedene dugotrajne imovine, jer je njihova provedba planirana za drugo polugodište, u skladu s godišnjim planom i rasporedom nabave.</w:t>
      </w:r>
    </w:p>
    <w:p w14:paraId="591ABF62" w14:textId="77777777" w:rsidR="00C54D29" w:rsidRDefault="00C54D29"/>
    <w:p w14:paraId="722CFDE5" w14:textId="77777777" w:rsidR="00C54D29" w:rsidRDefault="005C3788">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C54D29" w14:paraId="7FC117A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3153E97" w14:textId="77777777" w:rsidR="00C54D29" w:rsidRDefault="005C378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10EFF33" w14:textId="77777777" w:rsidR="00C54D29" w:rsidRDefault="005C378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76100EC" w14:textId="77777777" w:rsidR="00C54D29" w:rsidRDefault="005C378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F6D3CD2" w14:textId="77777777" w:rsidR="00C54D29" w:rsidRDefault="005C378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CC30B05" w14:textId="77777777" w:rsidR="00C54D29" w:rsidRDefault="005C378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18AAAA3" w14:textId="77777777" w:rsidR="00C54D29" w:rsidRDefault="005C3788">
            <w:pPr>
              <w:keepNext/>
              <w:keepLines/>
              <w:spacing w:after="0" w:line="240" w:lineRule="auto"/>
              <w:jc w:val="center"/>
            </w:pPr>
            <w:r>
              <w:rPr>
                <w:b/>
                <w:sz w:val="18"/>
              </w:rPr>
              <w:t>Indeks (%)</w:t>
            </w:r>
          </w:p>
        </w:tc>
      </w:tr>
      <w:tr w:rsidR="00C54D29" w14:paraId="20E83878" w14:textId="77777777">
        <w:tblPrEx>
          <w:tblCellMar>
            <w:top w:w="0" w:type="dxa"/>
            <w:bottom w:w="0" w:type="dxa"/>
          </w:tblCellMar>
        </w:tblPrEx>
        <w:trPr>
          <w:cantSplit/>
          <w:trHeight w:val="560"/>
        </w:trPr>
        <w:tc>
          <w:tcPr>
            <w:tcW w:w="700" w:type="dxa"/>
            <w:tcMar>
              <w:top w:w="0" w:type="dxa"/>
              <w:bottom w:w="0" w:type="dxa"/>
            </w:tcMar>
            <w:vAlign w:val="center"/>
          </w:tcPr>
          <w:p w14:paraId="2DB5B68A" w14:textId="77777777" w:rsidR="00C54D29" w:rsidRDefault="00C54D29">
            <w:pPr>
              <w:keepNext/>
              <w:keepLines/>
              <w:spacing w:after="0" w:line="240" w:lineRule="auto"/>
            </w:pPr>
          </w:p>
        </w:tc>
        <w:tc>
          <w:tcPr>
            <w:tcW w:w="3180" w:type="dxa"/>
            <w:tcMar>
              <w:top w:w="0" w:type="dxa"/>
              <w:bottom w:w="0" w:type="dxa"/>
            </w:tcMar>
            <w:vAlign w:val="center"/>
          </w:tcPr>
          <w:p w14:paraId="2F28A79F" w14:textId="77777777" w:rsidR="00C54D29" w:rsidRDefault="005C3788">
            <w:pPr>
              <w:keepNext/>
              <w:keepLines/>
              <w:spacing w:after="0" w:line="240" w:lineRule="auto"/>
            </w:pPr>
            <w:r>
              <w:rPr>
                <w:sz w:val="18"/>
              </w:rPr>
              <w:t>UKUPAN VIŠAK PRIHODA (šifre X067-Y034)</w:t>
            </w:r>
          </w:p>
        </w:tc>
        <w:tc>
          <w:tcPr>
            <w:tcW w:w="700" w:type="dxa"/>
            <w:tcMar>
              <w:top w:w="0" w:type="dxa"/>
              <w:bottom w:w="0" w:type="dxa"/>
            </w:tcMar>
            <w:vAlign w:val="center"/>
          </w:tcPr>
          <w:p w14:paraId="45B35049" w14:textId="77777777" w:rsidR="00C54D29" w:rsidRDefault="005C3788">
            <w:pPr>
              <w:keepNext/>
              <w:keepLines/>
              <w:spacing w:after="0" w:line="240" w:lineRule="auto"/>
            </w:pPr>
            <w:r>
              <w:rPr>
                <w:sz w:val="18"/>
              </w:rPr>
              <w:t>X004</w:t>
            </w:r>
          </w:p>
        </w:tc>
        <w:tc>
          <w:tcPr>
            <w:tcW w:w="1860" w:type="dxa"/>
            <w:tcMar>
              <w:top w:w="0" w:type="dxa"/>
              <w:bottom w:w="0" w:type="dxa"/>
            </w:tcMar>
            <w:vAlign w:val="center"/>
          </w:tcPr>
          <w:p w14:paraId="0B1BCBFA" w14:textId="77777777" w:rsidR="00C54D29" w:rsidRDefault="005C3788">
            <w:pPr>
              <w:keepNext/>
              <w:keepLines/>
              <w:spacing w:after="0" w:line="240" w:lineRule="auto"/>
              <w:jc w:val="right"/>
            </w:pPr>
            <w:r>
              <w:rPr>
                <w:sz w:val="18"/>
              </w:rPr>
              <w:t>502.402,62</w:t>
            </w:r>
          </w:p>
        </w:tc>
        <w:tc>
          <w:tcPr>
            <w:tcW w:w="1860" w:type="dxa"/>
            <w:tcMar>
              <w:top w:w="0" w:type="dxa"/>
              <w:bottom w:w="0" w:type="dxa"/>
            </w:tcMar>
            <w:vAlign w:val="center"/>
          </w:tcPr>
          <w:p w14:paraId="446CE5ED" w14:textId="77777777" w:rsidR="00C54D29" w:rsidRDefault="005C3788">
            <w:pPr>
              <w:keepNext/>
              <w:keepLines/>
              <w:spacing w:after="0" w:line="240" w:lineRule="auto"/>
              <w:jc w:val="right"/>
            </w:pPr>
            <w:r>
              <w:rPr>
                <w:sz w:val="18"/>
              </w:rPr>
              <w:t>784.875,57</w:t>
            </w:r>
          </w:p>
        </w:tc>
        <w:tc>
          <w:tcPr>
            <w:tcW w:w="700" w:type="dxa"/>
            <w:tcMar>
              <w:top w:w="0" w:type="dxa"/>
              <w:bottom w:w="0" w:type="dxa"/>
            </w:tcMar>
            <w:vAlign w:val="center"/>
          </w:tcPr>
          <w:p w14:paraId="20BD801A" w14:textId="77777777" w:rsidR="00C54D29" w:rsidRDefault="005C3788">
            <w:pPr>
              <w:keepNext/>
              <w:keepLines/>
              <w:spacing w:after="0" w:line="240" w:lineRule="auto"/>
              <w:jc w:val="right"/>
            </w:pPr>
            <w:r>
              <w:rPr>
                <w:sz w:val="18"/>
              </w:rPr>
              <w:t>156,2</w:t>
            </w:r>
          </w:p>
        </w:tc>
      </w:tr>
    </w:tbl>
    <w:p w14:paraId="07CB10F7" w14:textId="77777777" w:rsidR="00C54D29" w:rsidRDefault="00C54D29">
      <w:pPr>
        <w:spacing w:after="0"/>
      </w:pPr>
    </w:p>
    <w:p w14:paraId="14567E25" w14:textId="77777777" w:rsidR="00C54D29" w:rsidRDefault="005C3788">
      <w:pPr>
        <w:spacing w:line="240" w:lineRule="auto"/>
        <w:jc w:val="both"/>
      </w:pPr>
      <w:r>
        <w:t>Ukupni višak prihoda u 2025. godini porastao je za 56,2% u odnosu na prethodnu godinu. Povećanje je posljedica većih planiranih prihoda, koji se odnose na cijelu godinu, dok su rashodi iskazani samo za prvo polugodište, što je utjecalo na rast ukupnog viška u ovoj fazi izvještavanja.</w:t>
      </w:r>
    </w:p>
    <w:p w14:paraId="5531FD93" w14:textId="77777777" w:rsidR="00C54D29" w:rsidRDefault="00C54D29"/>
    <w:p w14:paraId="79D9C9B7" w14:textId="77777777" w:rsidR="00C54D29" w:rsidRDefault="005C3788">
      <w:pPr>
        <w:keepNext/>
        <w:spacing w:line="240" w:lineRule="auto"/>
        <w:jc w:val="center"/>
      </w:pPr>
      <w:r>
        <w:rPr>
          <w:sz w:val="28"/>
        </w:rPr>
        <w:lastRenderedPageBreak/>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C54D29" w14:paraId="562F6EE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31C5F1A" w14:textId="77777777" w:rsidR="00C54D29" w:rsidRDefault="005C378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2793864" w14:textId="77777777" w:rsidR="00C54D29" w:rsidRDefault="005C378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F754D43" w14:textId="77777777" w:rsidR="00C54D29" w:rsidRDefault="005C378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221E3A0" w14:textId="77777777" w:rsidR="00C54D29" w:rsidRDefault="005C378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9263442" w14:textId="77777777" w:rsidR="00C54D29" w:rsidRDefault="005C378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9AFBE97" w14:textId="77777777" w:rsidR="00C54D29" w:rsidRDefault="005C3788">
            <w:pPr>
              <w:keepNext/>
              <w:keepLines/>
              <w:spacing w:after="0" w:line="240" w:lineRule="auto"/>
              <w:jc w:val="center"/>
            </w:pPr>
            <w:r>
              <w:rPr>
                <w:b/>
                <w:sz w:val="18"/>
              </w:rPr>
              <w:t>Indeks (%)</w:t>
            </w:r>
          </w:p>
        </w:tc>
      </w:tr>
      <w:tr w:rsidR="00C54D29" w14:paraId="639C4D53" w14:textId="77777777">
        <w:tblPrEx>
          <w:tblCellMar>
            <w:top w:w="0" w:type="dxa"/>
            <w:bottom w:w="0" w:type="dxa"/>
          </w:tblCellMar>
        </w:tblPrEx>
        <w:trPr>
          <w:cantSplit/>
          <w:trHeight w:val="560"/>
        </w:trPr>
        <w:tc>
          <w:tcPr>
            <w:tcW w:w="700" w:type="dxa"/>
            <w:tcMar>
              <w:top w:w="0" w:type="dxa"/>
              <w:bottom w:w="0" w:type="dxa"/>
            </w:tcMar>
            <w:vAlign w:val="center"/>
          </w:tcPr>
          <w:p w14:paraId="74BFBCFC" w14:textId="77777777" w:rsidR="00C54D29" w:rsidRDefault="005C3788">
            <w:pPr>
              <w:keepNext/>
              <w:keepLines/>
              <w:spacing w:after="0" w:line="240" w:lineRule="auto"/>
            </w:pPr>
            <w:r>
              <w:rPr>
                <w:sz w:val="18"/>
              </w:rPr>
              <w:t>9221x, 9222x</w:t>
            </w:r>
          </w:p>
        </w:tc>
        <w:tc>
          <w:tcPr>
            <w:tcW w:w="3180" w:type="dxa"/>
            <w:tcMar>
              <w:top w:w="0" w:type="dxa"/>
              <w:bottom w:w="0" w:type="dxa"/>
            </w:tcMar>
            <w:vAlign w:val="center"/>
          </w:tcPr>
          <w:p w14:paraId="7AC1FA8B" w14:textId="77777777" w:rsidR="00C54D29" w:rsidRDefault="005C3788">
            <w:pPr>
              <w:keepNext/>
              <w:keepLines/>
              <w:spacing w:after="0" w:line="240" w:lineRule="auto"/>
            </w:pPr>
            <w:r>
              <w:rPr>
                <w:sz w:val="18"/>
              </w:rPr>
              <w:t>Višak prihoda - preneseni (šifre 92211+92212-92221-92222)</w:t>
            </w:r>
          </w:p>
        </w:tc>
        <w:tc>
          <w:tcPr>
            <w:tcW w:w="700" w:type="dxa"/>
            <w:tcMar>
              <w:top w:w="0" w:type="dxa"/>
              <w:bottom w:w="0" w:type="dxa"/>
            </w:tcMar>
            <w:vAlign w:val="center"/>
          </w:tcPr>
          <w:p w14:paraId="7EB58F04" w14:textId="77777777" w:rsidR="00C54D29" w:rsidRDefault="005C3788">
            <w:pPr>
              <w:keepNext/>
              <w:keepLines/>
              <w:spacing w:after="0" w:line="240" w:lineRule="auto"/>
            </w:pPr>
            <w:r>
              <w:rPr>
                <w:sz w:val="18"/>
              </w:rPr>
              <w:t>9221x,9222x VP</w:t>
            </w:r>
          </w:p>
        </w:tc>
        <w:tc>
          <w:tcPr>
            <w:tcW w:w="1860" w:type="dxa"/>
            <w:tcMar>
              <w:top w:w="0" w:type="dxa"/>
              <w:bottom w:w="0" w:type="dxa"/>
            </w:tcMar>
            <w:vAlign w:val="center"/>
          </w:tcPr>
          <w:p w14:paraId="163C9BA5" w14:textId="77777777" w:rsidR="00C54D29" w:rsidRDefault="005C3788">
            <w:pPr>
              <w:keepNext/>
              <w:keepLines/>
              <w:spacing w:after="0" w:line="240" w:lineRule="auto"/>
              <w:jc w:val="right"/>
            </w:pPr>
            <w:r>
              <w:rPr>
                <w:sz w:val="18"/>
              </w:rPr>
              <w:t>220.891,27</w:t>
            </w:r>
          </w:p>
        </w:tc>
        <w:tc>
          <w:tcPr>
            <w:tcW w:w="1860" w:type="dxa"/>
            <w:tcMar>
              <w:top w:w="0" w:type="dxa"/>
              <w:bottom w:w="0" w:type="dxa"/>
            </w:tcMar>
            <w:vAlign w:val="center"/>
          </w:tcPr>
          <w:p w14:paraId="2E2BC0EA" w14:textId="77777777" w:rsidR="00C54D29" w:rsidRDefault="005C3788">
            <w:pPr>
              <w:keepNext/>
              <w:keepLines/>
              <w:spacing w:after="0" w:line="240" w:lineRule="auto"/>
              <w:jc w:val="right"/>
            </w:pPr>
            <w:r>
              <w:rPr>
                <w:sz w:val="18"/>
              </w:rPr>
              <w:t>118.406,34</w:t>
            </w:r>
          </w:p>
        </w:tc>
        <w:tc>
          <w:tcPr>
            <w:tcW w:w="700" w:type="dxa"/>
            <w:tcMar>
              <w:top w:w="0" w:type="dxa"/>
              <w:bottom w:w="0" w:type="dxa"/>
            </w:tcMar>
            <w:vAlign w:val="center"/>
          </w:tcPr>
          <w:p w14:paraId="5F949EC8" w14:textId="77777777" w:rsidR="00C54D29" w:rsidRDefault="005C3788">
            <w:pPr>
              <w:keepNext/>
              <w:keepLines/>
              <w:spacing w:after="0" w:line="240" w:lineRule="auto"/>
              <w:jc w:val="right"/>
            </w:pPr>
            <w:r>
              <w:rPr>
                <w:sz w:val="18"/>
              </w:rPr>
              <w:t>53,6</w:t>
            </w:r>
          </w:p>
        </w:tc>
      </w:tr>
    </w:tbl>
    <w:p w14:paraId="7E4F4DDA" w14:textId="77777777" w:rsidR="00C54D29" w:rsidRDefault="00C54D29">
      <w:pPr>
        <w:spacing w:after="0"/>
      </w:pPr>
    </w:p>
    <w:p w14:paraId="436AA931" w14:textId="77777777" w:rsidR="00C54D29" w:rsidRDefault="005C3788">
      <w:pPr>
        <w:spacing w:line="240" w:lineRule="auto"/>
        <w:jc w:val="both"/>
      </w:pPr>
      <w:r>
        <w:t>Preneseni višak prihoda  za 2025. godinu manji je u odnosu na prethodno razdoblje za 46,4%. Smanjenje je posljedica većih rashoda ostvarenih u 2024. godini, što je smanjilo iznos koji se mogao prenijeti u 2025. godinu.</w:t>
      </w:r>
    </w:p>
    <w:p w14:paraId="6DE9A686" w14:textId="77777777" w:rsidR="00C54D29" w:rsidRDefault="00C54D29"/>
    <w:p w14:paraId="37A647D5" w14:textId="77777777" w:rsidR="00C54D29" w:rsidRDefault="005C3788">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C54D29" w14:paraId="0647913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11E989D" w14:textId="77777777" w:rsidR="00C54D29" w:rsidRDefault="005C378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DD17789" w14:textId="77777777" w:rsidR="00C54D29" w:rsidRDefault="005C378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7E37499" w14:textId="77777777" w:rsidR="00C54D29" w:rsidRDefault="005C378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BFCEEE8" w14:textId="77777777" w:rsidR="00C54D29" w:rsidRDefault="005C3788">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16609DB" w14:textId="77777777" w:rsidR="00C54D29" w:rsidRDefault="005C3788">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294ECA6" w14:textId="77777777" w:rsidR="00C54D29" w:rsidRDefault="005C3788">
            <w:pPr>
              <w:keepNext/>
              <w:keepLines/>
              <w:spacing w:after="0" w:line="240" w:lineRule="auto"/>
              <w:jc w:val="center"/>
            </w:pPr>
            <w:r>
              <w:rPr>
                <w:b/>
                <w:sz w:val="18"/>
              </w:rPr>
              <w:t>Indeks (%)</w:t>
            </w:r>
          </w:p>
        </w:tc>
      </w:tr>
      <w:tr w:rsidR="00C54D29" w14:paraId="38615102" w14:textId="77777777">
        <w:tblPrEx>
          <w:tblCellMar>
            <w:top w:w="0" w:type="dxa"/>
            <w:bottom w:w="0" w:type="dxa"/>
          </w:tblCellMar>
        </w:tblPrEx>
        <w:trPr>
          <w:cantSplit/>
          <w:trHeight w:val="560"/>
        </w:trPr>
        <w:tc>
          <w:tcPr>
            <w:tcW w:w="700" w:type="dxa"/>
            <w:tcMar>
              <w:top w:w="0" w:type="dxa"/>
              <w:bottom w:w="0" w:type="dxa"/>
            </w:tcMar>
            <w:vAlign w:val="center"/>
          </w:tcPr>
          <w:p w14:paraId="0299EC6E" w14:textId="77777777" w:rsidR="00C54D29" w:rsidRDefault="00C54D29">
            <w:pPr>
              <w:keepNext/>
              <w:keepLines/>
              <w:spacing w:after="0" w:line="240" w:lineRule="auto"/>
            </w:pPr>
          </w:p>
        </w:tc>
        <w:tc>
          <w:tcPr>
            <w:tcW w:w="3180" w:type="dxa"/>
            <w:tcMar>
              <w:top w:w="0" w:type="dxa"/>
              <w:bottom w:w="0" w:type="dxa"/>
            </w:tcMar>
            <w:vAlign w:val="center"/>
          </w:tcPr>
          <w:p w14:paraId="660FF374" w14:textId="77777777" w:rsidR="00C54D29" w:rsidRDefault="005C3788">
            <w:pPr>
              <w:keepNext/>
              <w:keepLines/>
              <w:spacing w:after="0" w:line="240" w:lineRule="auto"/>
            </w:pPr>
            <w:r>
              <w:rPr>
                <w:sz w:val="18"/>
              </w:rPr>
              <w:t>Višak prihoda i primitaka raspoloživ u sljedećem razdoblju (šifre X005 + '9221-9222' - Y005 - '9222-9221')</w:t>
            </w:r>
          </w:p>
        </w:tc>
        <w:tc>
          <w:tcPr>
            <w:tcW w:w="700" w:type="dxa"/>
            <w:tcMar>
              <w:top w:w="0" w:type="dxa"/>
              <w:bottom w:w="0" w:type="dxa"/>
            </w:tcMar>
            <w:vAlign w:val="center"/>
          </w:tcPr>
          <w:p w14:paraId="0CFB8B87" w14:textId="77777777" w:rsidR="00C54D29" w:rsidRDefault="005C3788">
            <w:pPr>
              <w:keepNext/>
              <w:keepLines/>
              <w:spacing w:after="0" w:line="240" w:lineRule="auto"/>
            </w:pPr>
            <w:r>
              <w:rPr>
                <w:sz w:val="18"/>
              </w:rPr>
              <w:t>X006</w:t>
            </w:r>
          </w:p>
        </w:tc>
        <w:tc>
          <w:tcPr>
            <w:tcW w:w="1860" w:type="dxa"/>
            <w:tcMar>
              <w:top w:w="0" w:type="dxa"/>
              <w:bottom w:w="0" w:type="dxa"/>
            </w:tcMar>
            <w:vAlign w:val="center"/>
          </w:tcPr>
          <w:p w14:paraId="2924711E" w14:textId="77777777" w:rsidR="00C54D29" w:rsidRDefault="005C3788">
            <w:pPr>
              <w:keepNext/>
              <w:keepLines/>
              <w:spacing w:after="0" w:line="240" w:lineRule="auto"/>
              <w:jc w:val="right"/>
            </w:pPr>
            <w:r>
              <w:rPr>
                <w:sz w:val="18"/>
              </w:rPr>
              <w:t>723.293,89</w:t>
            </w:r>
          </w:p>
        </w:tc>
        <w:tc>
          <w:tcPr>
            <w:tcW w:w="1860" w:type="dxa"/>
            <w:tcMar>
              <w:top w:w="0" w:type="dxa"/>
              <w:bottom w:w="0" w:type="dxa"/>
            </w:tcMar>
            <w:vAlign w:val="center"/>
          </w:tcPr>
          <w:p w14:paraId="761452C7" w14:textId="77777777" w:rsidR="00C54D29" w:rsidRDefault="005C3788">
            <w:pPr>
              <w:keepNext/>
              <w:keepLines/>
              <w:spacing w:after="0" w:line="240" w:lineRule="auto"/>
              <w:jc w:val="right"/>
            </w:pPr>
            <w:r>
              <w:rPr>
                <w:sz w:val="18"/>
              </w:rPr>
              <w:t>903.281,91</w:t>
            </w:r>
          </w:p>
        </w:tc>
        <w:tc>
          <w:tcPr>
            <w:tcW w:w="700" w:type="dxa"/>
            <w:tcMar>
              <w:top w:w="0" w:type="dxa"/>
              <w:bottom w:w="0" w:type="dxa"/>
            </w:tcMar>
            <w:vAlign w:val="center"/>
          </w:tcPr>
          <w:p w14:paraId="04B8960E" w14:textId="77777777" w:rsidR="00C54D29" w:rsidRDefault="005C3788">
            <w:pPr>
              <w:keepNext/>
              <w:keepLines/>
              <w:spacing w:after="0" w:line="240" w:lineRule="auto"/>
              <w:jc w:val="right"/>
            </w:pPr>
            <w:r>
              <w:rPr>
                <w:sz w:val="18"/>
              </w:rPr>
              <w:t>124,9</w:t>
            </w:r>
          </w:p>
        </w:tc>
      </w:tr>
    </w:tbl>
    <w:p w14:paraId="086D7CDE" w14:textId="77777777" w:rsidR="00C54D29" w:rsidRDefault="00C54D29">
      <w:pPr>
        <w:spacing w:after="0"/>
      </w:pPr>
    </w:p>
    <w:p w14:paraId="6B5BFA88" w14:textId="77777777" w:rsidR="00C54D29" w:rsidRDefault="005C3788">
      <w:pPr>
        <w:spacing w:line="240" w:lineRule="auto"/>
        <w:jc w:val="both"/>
      </w:pPr>
      <w:r>
        <w:t>Višak prihoda raspoloživ za sljedeće razdoblje povećan je za 24,9% u odnosu na prethodnu godinu, što je rezultat većeg prenesenog viška i rasta ostvarenih prihoda u tekućem razdoblju.</w:t>
      </w:r>
    </w:p>
    <w:p w14:paraId="42A721DA" w14:textId="77777777" w:rsidR="00C54D29" w:rsidRDefault="00C54D29"/>
    <w:p w14:paraId="20CA7825" w14:textId="77777777" w:rsidR="00C54D29" w:rsidRDefault="005C3788">
      <w:pPr>
        <w:keepNext/>
        <w:spacing w:line="240" w:lineRule="auto"/>
        <w:jc w:val="center"/>
      </w:pPr>
      <w:r>
        <w:rPr>
          <w:b/>
          <w:sz w:val="28"/>
        </w:rPr>
        <w:t>Izvještaj o obvezama</w:t>
      </w:r>
    </w:p>
    <w:p w14:paraId="126FF604" w14:textId="77777777" w:rsidR="00C54D29" w:rsidRDefault="005C3788">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C54D29" w14:paraId="4A18754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C3DB15F" w14:textId="77777777" w:rsidR="00C54D29" w:rsidRDefault="005C3788">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5CA7303" w14:textId="77777777" w:rsidR="00C54D29" w:rsidRDefault="005C3788">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2AB0A57" w14:textId="77777777" w:rsidR="00C54D29" w:rsidRDefault="005C3788">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6B873B0" w14:textId="77777777" w:rsidR="00C54D29" w:rsidRDefault="005C3788">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2D3AF6BD" w14:textId="77777777" w:rsidR="00C54D29" w:rsidRDefault="005C3788">
            <w:pPr>
              <w:keepNext/>
              <w:keepLines/>
              <w:spacing w:after="0" w:line="240" w:lineRule="auto"/>
              <w:jc w:val="center"/>
            </w:pPr>
            <w:r>
              <w:rPr>
                <w:b/>
                <w:sz w:val="18"/>
              </w:rPr>
              <w:t>Indeks (%)</w:t>
            </w:r>
          </w:p>
        </w:tc>
      </w:tr>
      <w:tr w:rsidR="00C54D29" w14:paraId="3D502309" w14:textId="77777777">
        <w:tblPrEx>
          <w:tblCellMar>
            <w:top w:w="0" w:type="dxa"/>
            <w:bottom w:w="0" w:type="dxa"/>
          </w:tblCellMar>
        </w:tblPrEx>
        <w:trPr>
          <w:cantSplit/>
          <w:trHeight w:val="560"/>
        </w:trPr>
        <w:tc>
          <w:tcPr>
            <w:tcW w:w="700" w:type="dxa"/>
            <w:tcMar>
              <w:top w:w="0" w:type="dxa"/>
              <w:bottom w:w="0" w:type="dxa"/>
            </w:tcMar>
            <w:vAlign w:val="center"/>
          </w:tcPr>
          <w:p w14:paraId="2758A6C6" w14:textId="77777777" w:rsidR="00C54D29" w:rsidRDefault="00C54D29">
            <w:pPr>
              <w:keepNext/>
              <w:keepLines/>
              <w:spacing w:after="0" w:line="240" w:lineRule="auto"/>
            </w:pPr>
          </w:p>
        </w:tc>
        <w:tc>
          <w:tcPr>
            <w:tcW w:w="3180" w:type="dxa"/>
            <w:tcMar>
              <w:top w:w="0" w:type="dxa"/>
              <w:bottom w:w="0" w:type="dxa"/>
            </w:tcMar>
            <w:vAlign w:val="center"/>
          </w:tcPr>
          <w:p w14:paraId="0F02BC52" w14:textId="77777777" w:rsidR="00C54D29" w:rsidRDefault="005C3788">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76FF46B7" w14:textId="77777777" w:rsidR="00C54D29" w:rsidRDefault="005C3788">
            <w:pPr>
              <w:keepNext/>
              <w:keepLines/>
              <w:spacing w:after="0" w:line="240" w:lineRule="auto"/>
            </w:pPr>
            <w:r>
              <w:rPr>
                <w:sz w:val="18"/>
              </w:rPr>
              <w:t>V007</w:t>
            </w:r>
          </w:p>
        </w:tc>
        <w:tc>
          <w:tcPr>
            <w:tcW w:w="1860" w:type="dxa"/>
            <w:tcMar>
              <w:top w:w="0" w:type="dxa"/>
              <w:bottom w:w="0" w:type="dxa"/>
            </w:tcMar>
            <w:vAlign w:val="center"/>
          </w:tcPr>
          <w:p w14:paraId="3A48CBC6" w14:textId="77777777" w:rsidR="00C54D29" w:rsidRDefault="005C3788">
            <w:pPr>
              <w:keepNext/>
              <w:keepLines/>
              <w:spacing w:after="0" w:line="240" w:lineRule="auto"/>
              <w:jc w:val="right"/>
            </w:pPr>
            <w:r>
              <w:rPr>
                <w:sz w:val="18"/>
              </w:rPr>
              <w:t>128,74</w:t>
            </w:r>
          </w:p>
        </w:tc>
        <w:tc>
          <w:tcPr>
            <w:tcW w:w="700" w:type="dxa"/>
            <w:tcMar>
              <w:top w:w="0" w:type="dxa"/>
              <w:bottom w:w="0" w:type="dxa"/>
            </w:tcMar>
            <w:vAlign w:val="center"/>
          </w:tcPr>
          <w:p w14:paraId="15BE36FC" w14:textId="77777777" w:rsidR="00C54D29" w:rsidRDefault="005C3788">
            <w:pPr>
              <w:keepNext/>
              <w:keepLines/>
              <w:spacing w:after="0" w:line="240" w:lineRule="auto"/>
              <w:jc w:val="right"/>
            </w:pPr>
            <w:r>
              <w:rPr>
                <w:sz w:val="18"/>
              </w:rPr>
              <w:t>-</w:t>
            </w:r>
          </w:p>
        </w:tc>
      </w:tr>
    </w:tbl>
    <w:p w14:paraId="465CE0AB" w14:textId="77777777" w:rsidR="00C54D29" w:rsidRDefault="00C54D29">
      <w:pPr>
        <w:spacing w:after="0"/>
      </w:pPr>
    </w:p>
    <w:p w14:paraId="7423D623" w14:textId="77777777" w:rsidR="00C54D29" w:rsidRDefault="005C3788">
      <w:pPr>
        <w:spacing w:line="240" w:lineRule="auto"/>
        <w:jc w:val="both"/>
      </w:pPr>
      <w:r>
        <w:t>Dospjela obveza odnosi se na račun za uslugu odvoza otpada koji je zapriman nakon isteka roka dospijeća navedenog na računu. Zbog kašnjenja u dostavi računa od strane dobavljača, plaćanje nije bilo moguće izvršiti u roku.</w:t>
      </w:r>
    </w:p>
    <w:p w14:paraId="1DDAEAA3" w14:textId="77777777" w:rsidR="00C54D29" w:rsidRDefault="00C54D29"/>
    <w:sectPr w:rsidR="00C54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29"/>
    <w:rsid w:val="005C3788"/>
    <w:rsid w:val="00B21A16"/>
    <w:rsid w:val="00C54D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2176"/>
  <w15:docId w15:val="{C2E43080-A23D-4401-8184-EEC68C6A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2D9B40ACEBF84448B22385A6EAD467B" ma:contentTypeVersion="15" ma:contentTypeDescription="Stvaranje novog dokumenta." ma:contentTypeScope="" ma:versionID="2b9b011ff90cbe9f829e04945c3a7094">
  <xsd:schema xmlns:xsd="http://www.w3.org/2001/XMLSchema" xmlns:xs="http://www.w3.org/2001/XMLSchema" xmlns:p="http://schemas.microsoft.com/office/2006/metadata/properties" xmlns:ns2="4fd6f2f3-afd8-4f8d-86e3-cabbb3849405" xmlns:ns3="5886cc92-a7f3-45d8-90fc-d9bf4c02a413" targetNamespace="http://schemas.microsoft.com/office/2006/metadata/properties" ma:root="true" ma:fieldsID="30187141e6901899dd620d56f0738cb4" ns2:_="" ns3:_="">
    <xsd:import namespace="4fd6f2f3-afd8-4f8d-86e3-cabbb3849405"/>
    <xsd:import namespace="5886cc92-a7f3-45d8-90fc-d9bf4c02a4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6f2f3-afd8-4f8d-86e3-cabbb3849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3e47f68d-b2ef-4978-96f6-c94901662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6cc92-a7f3-45d8-90fc-d9bf4c02a41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f560393-642a-4c82-8135-3c2edb160fb1}" ma:internalName="TaxCatchAll" ma:showField="CatchAllData" ma:web="5886cc92-a7f3-45d8-90fc-d9bf4c02a4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d6f2f3-afd8-4f8d-86e3-cabbb3849405">
      <Terms xmlns="http://schemas.microsoft.com/office/infopath/2007/PartnerControls"/>
    </lcf76f155ced4ddcb4097134ff3c332f>
    <TaxCatchAll xmlns="5886cc92-a7f3-45d8-90fc-d9bf4c02a413" xsi:nil="true"/>
  </documentManagement>
</p:properties>
</file>

<file path=customXml/itemProps1.xml><?xml version="1.0" encoding="utf-8"?>
<ds:datastoreItem xmlns:ds="http://schemas.openxmlformats.org/officeDocument/2006/customXml" ds:itemID="{D86AC187-F113-4873-AB3C-6D372F0F226C}">
  <ds:schemaRefs>
    <ds:schemaRef ds:uri="http://schemas.microsoft.com/sharepoint/v3/contenttype/forms"/>
  </ds:schemaRefs>
</ds:datastoreItem>
</file>

<file path=customXml/itemProps2.xml><?xml version="1.0" encoding="utf-8"?>
<ds:datastoreItem xmlns:ds="http://schemas.openxmlformats.org/officeDocument/2006/customXml" ds:itemID="{EDABA7AA-1AB7-487E-89B1-002135F269C6}"/>
</file>

<file path=customXml/itemProps3.xml><?xml version="1.0" encoding="utf-8"?>
<ds:datastoreItem xmlns:ds="http://schemas.openxmlformats.org/officeDocument/2006/customXml" ds:itemID="{9A9EAF90-4D94-4335-9FFE-07CD82DE31EB}">
  <ds:schemaRefs>
    <ds:schemaRef ds:uri="http://schemas.microsoft.com/office/2006/metadata/properties"/>
    <ds:schemaRef ds:uri="http://schemas.microsoft.com/office/infopath/2007/PartnerControls"/>
    <ds:schemaRef ds:uri="4fd6f2f3-afd8-4f8d-86e3-cabbb3849405"/>
    <ds:schemaRef ds:uri="5886cc92-a7f3-45d8-90fc-d9bf4c02a4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5836</Characters>
  <Application>Microsoft Office Word</Application>
  <DocSecurity>0</DocSecurity>
  <Lines>48</Lines>
  <Paragraphs>13</Paragraphs>
  <ScaleCrop>false</ScaleCrop>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Ivona Držaić</dc:creator>
  <cp:lastModifiedBy>Ivona Drzaic</cp:lastModifiedBy>
  <cp:revision>2</cp:revision>
  <dcterms:created xsi:type="dcterms:W3CDTF">2025-07-21T08:43:00Z</dcterms:created>
  <dcterms:modified xsi:type="dcterms:W3CDTF">2025-07-21T08:43:00Z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0x010100B2D9B40ACEBF84448B22385A6EAD467B</vt:lpwstr>
  </property>
</Properties>
</file>